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 w:right="-2" w:firstLine="0" w:left="5811"/>
        <w:jc w:val="righ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№1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к приказу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Херсонской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24 №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hyperlink w:tooltip="#sub_1000" w:anchor="sub_1000" w:history="1">
        <w:r>
          <w:rPr>
            <w:rFonts w:ascii="Times New Roman" w:hAnsi="Times New Roman"/>
            <w:b/>
            <w:color w:val="000000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сообщения лицами, замещающими государственные должности и должности государственной гражданской службы в Контрольно-счетной палате Херсонской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</w:t>
      </w:r>
      <w:hyperlink r:id="rId10" w:tooltip="garantF1://12064203.905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 Фед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е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ральным 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27.07.2002 №79-ФЗ «О государственной гражданской службе Российской Федерации»,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tooltip="garantF1://12064203.905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Фед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е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ральным законом</w:t>
        </w:r>
      </w:hyperlink>
      <w:r>
        <w:rPr>
          <w:rFonts w:ascii="Times New Roman" w:hAnsi="Times New Roman"/>
          <w:sz w:val="28"/>
          <w:szCs w:val="28"/>
        </w:rPr>
        <w:t xml:space="preserve">  от 25 декабря </w:t>
      </w:r>
      <w:r>
        <w:rPr>
          <w:rFonts w:ascii="Times New Roman" w:hAnsi="Times New Roman"/>
          <w:sz w:val="28"/>
          <w:szCs w:val="28"/>
        </w:rPr>
        <w:t xml:space="preserve">2008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273-ФЗ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противодействии корру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ции</w:t>
      </w:r>
      <w:r>
        <w:rPr>
          <w:rFonts w:ascii="Times New Roman" w:hAnsi="Times New Roman"/>
          <w:sz w:val="28"/>
          <w:szCs w:val="28"/>
        </w:rPr>
        <w:t xml:space="preserve">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</w:t>
      </w:r>
      <w:r>
        <w:rPr>
          <w:rFonts w:ascii="Times New Roman" w:hAnsi="Times New Roman"/>
          <w:sz w:val="28"/>
          <w:szCs w:val="28"/>
        </w:rPr>
        <w:t xml:space="preserve">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устанавливает процедуру сообщения лицами,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замещающими государственные должности и должности государственной гражданской службы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в Контрольно-счетной палате Херсонской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 xml:space="preserve">гражданские служащие), включенные в перечень должностей государственной гражд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нской службы Херсонской области, при замещении которых государственные гражданские служащие Херсонской области обязаны предоставлять сведения о своих доходах, расходах, об имуществе, обязательствах имущественного характера, а также сведениях о доходах, рас</w:t>
      </w:r>
      <w:r>
        <w:rPr>
          <w:rFonts w:ascii="Times New Roman" w:hAnsi="Times New Roman"/>
          <w:sz w:val="28"/>
          <w:szCs w:val="28"/>
        </w:rPr>
        <w:t xml:space="preserve">ходах, об имуществе и обязательствах имущественного характера своих супруга (супруги) и несовершеннолетних детей,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>
        <w:rPr>
          <w:rFonts w:ascii="Times New Roman" w:hAnsi="Times New Roman"/>
          <w:color w:val="c00000"/>
          <w:sz w:val="28"/>
          <w:szCs w:val="28"/>
          <w:highlight w:val="none"/>
        </w:rPr>
      </w:r>
      <w:r>
        <w:rPr>
          <w:rFonts w:ascii="Times New Roman" w:hAnsi="Times New Roman"/>
          <w:color w:val="c00000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Конфликт интересов – это ситуация,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которой личная</w:t>
        <w:br/>
        <w:t xml:space="preserve">заинтересованность (прямая или косвенная) гражданского</w:t>
        <w:br/>
        <w:t xml:space="preserve">служащего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влияет или может повлиять на надлежащее, объективное</w:t>
        <w:br/>
        <w:t xml:space="preserve">и беспристрастное исполнение должностных обязанностей.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Личная заинтересованность – это возможность получения доходов в виде</w:t>
        <w:br/>
        <w:t xml:space="preserve">денег, иного имущества, в том числе имущественных прав, услуг</w:t>
        <w:br/>
        <w:t xml:space="preserve">имущественного характера, результатов выполненных работ или каких-либо</w:t>
        <w:br/>
        <w:t xml:space="preserve">выгод непосредственно для государственного гражданског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служащего,</w:t>
        <w:br/>
        <w:t xml:space="preserve">членов его семьи, иных субъектов (например, друзья, знакомые, иные</w:t>
        <w:br/>
        <w:t xml:space="preserve">родственники служащего).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firstLine="720"/>
        <w:contextualSpacing w:val="false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Ситуации, которые могут повлечь возникновение конфликта интересов: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совместное прохождение государственной гражданской службы с родственниками, свойственниками и лицами, с которыми служащий связан иными близкими отношениями, выполнение отдельных функций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сударственного управления в отношении указанных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 наличие в должностных обязанностях контрольных (надзорных) функций;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взаимодействие в рамках исполнения должностных обязанностей с лицами, с которыми служащий или его родственники/свойственники связаны родственными, имущественными, корпоративными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иными близкими отношениями;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выполнение иной оплачиваемой работы, в организации, с которой служащий взаимодействует в рамках исполнения должностных обязанностей;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владение ценными бумагами организации, с которой служащий взаимодействует в рамках исполнен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должностных обязанностей.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5. Гражданские служащие обязаны в соответствии с законодательством Российской Федерации о противодействии коррупции сообщать о возникновении</w:t>
      </w:r>
      <w:r>
        <w:rPr>
          <w:rFonts w:ascii="Times New Roman" w:hAnsi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в письменной форме согласно приложению №1 к настоящему Порядку (далее – уведомление).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Уведомление должно быть лично подписано гражданским служащим с указанием даты его составления.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 наличии иных материалов, имеющих отношение к данным обстоятельствам, гражданский служащий представляет их вместе с уведомлением.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 </w:t>
      </w:r>
      <w:r>
        <w:rPr>
          <w:rFonts w:ascii="Times New Roman" w:hAnsi="Times New Roman"/>
          <w:sz w:val="28"/>
          <w:szCs w:val="28"/>
          <w:highlight w:val="none"/>
        </w:rPr>
        <w:t xml:space="preserve">Гражданские служащие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предоставляют уведомление председателю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Контрольно-счетной палаты Херсонской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7. Уведомление подлежит регистрации отелом государственной службы, кадровой работы и противодействия коррупции в журнале регистрации уведомлений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о возникновении</w:t>
      </w:r>
      <w:r>
        <w:rPr>
          <w:rFonts w:ascii="Times New Roman" w:hAnsi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sz w:val="28"/>
          <w:szCs w:val="28"/>
          <w:highlight w:val="none"/>
        </w:rPr>
        <w:t xml:space="preserve">по форме согласно приложению №2 к настоящему Порядку (далее – журнал), в день его получения.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Копия уведомления с отметкой о регистрации выдается гражданскому служащему под роспись в журнале либо направляется по почте, о чем делается отметка в журнале.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uppressLineNumbers w:val="false"/>
        <w:pBdr/>
        <w:spacing w:after="0" w:line="240" w:lineRule="auto"/>
        <w:ind w:firstLine="72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8.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Комиссия по соблюдению требований к служебному поведению гражданских служащих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Херсонской области и урегулированию конфликта интересов при рассмотрении настоящего уведомления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принимает меры по урегулированию конфликта интересов путем принятия одного из следующих решений: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firstLine="720"/>
        <w:contextualSpacing w:val="false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признать, что при исполнении должностных обязанностей лицом, направившим уведомление, конфликт интересов отсутст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вует;</w:t>
        <w:br/>
        <w:t xml:space="preserve">          - призн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  <w:br/>
        <w:t xml:space="preserve">             - признать, что лицом, направившим уведомление, не соблюдались требования об урегулир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овании конфликта интересов;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before="0" w:line="240" w:lineRule="auto"/>
        <w:ind w:firstLine="72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подпунктом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 части 1 статьи 59.2 Федерального</w:t>
        <w:br/>
        <w:t xml:space="preserve">закона от 27 июля 2004 г. № 79-ФЗ «О государственной гражданской службе Российской Федерации» государственный гражданский служащий, в случае непринятия мер по предотвращению и (или) урегулированию конфликта интересов,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ороной которого он является, подлежит увольнению в связи с утратой доверия.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before="0" w:line="240" w:lineRule="auto"/>
        <w:ind w:firstLine="72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применении к лицу взыскания в виде увольнения в связи с утратой доверия подлежат включению в реестр лиц, уволенных в связи с утратой доверия (далее – реестр), сроком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пять лет.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before="0" w:line="240" w:lineRule="auto"/>
        <w:ind w:firstLine="72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 </w:t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before="0" w:line="240" w:lineRule="auto"/>
        <w:ind w:right="-2" w:left="4536"/>
        <w:contextualSpacing w:val="false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before="0" w:line="240" w:lineRule="auto"/>
        <w:ind w:right="-2" w:firstLine="0" w:left="0"/>
        <w:contextualSpacing w:val="false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Руководитель аппарата Контрольно-счетной палаты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right="-2" w:firstLine="0" w:left="0"/>
        <w:contextualSpacing w:val="false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Херсонской области                                                                                     И.А. Яговдик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jc w:val="righ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№1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4961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Порядку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сообщения лицами, замещающими государственные должности и должности государственной гражданской службы Херсонской области в Контрольно-счетной палаты Херсонской области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о возникновении личной заинтересованности при исполнении должностных обязанностей , которая приводит или может привести к конфликту интересов 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Херсонской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 И.О.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6237"/>
        <w:jc w:val="left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ФИО, наименование должности</w:t>
      </w: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Bdr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о возникновении</w:t>
      </w:r>
      <w:r>
        <w:rPr>
          <w:rFonts w:ascii="Times New Roman" w:hAnsi="Times New Roman"/>
          <w:b/>
          <w:bCs/>
          <w:sz w:val="28"/>
          <w:szCs w:val="28"/>
        </w:rPr>
        <w:t xml:space="preserve"> личной заинтересованности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исполнении должностных обязанностей,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Courier New" w:hAnsi="Courier New" w:cs="Courier New"/>
          <w:sz w:val="24"/>
          <w:szCs w:val="24"/>
        </w:rPr>
      </w:r>
      <w:r>
        <w:rPr>
          <w:rFonts w:ascii="Times New Roman" w:hAnsi="Times New Roman"/>
          <w:sz w:val="28"/>
          <w:szCs w:val="28"/>
        </w:rPr>
        <w:t xml:space="preserve">Сообщаю </w:t>
      </w:r>
      <w:r>
        <w:rPr>
          <w:rFonts w:ascii="Times New Roman" w:hAnsi="Times New Roman"/>
          <w:sz w:val="28"/>
          <w:szCs w:val="28"/>
          <w:highlight w:val="none"/>
        </w:rPr>
        <w:t xml:space="preserve">о возникновении</w:t>
      </w:r>
      <w:r>
        <w:rPr>
          <w:rFonts w:ascii="Times New Roman" w:hAnsi="Times New Roman"/>
          <w:sz w:val="28"/>
          <w:szCs w:val="28"/>
        </w:rPr>
        <w:t xml:space="preserve">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Обстоятельства, являющиеся основанием возникновения личной                     заинтересованности:_______________________________________________________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Должностные обязанности, на исполнение которых влияет или может повлиять личная заинтересованность: 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Предлагаемые меры по предотвращению или урегулированию конфликта интересов:_________________________________________________________________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right="-2" w:firstLine="709" w:left="0"/>
        <w:contextualSpacing w:val="false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Намериваюсь (не намериваюсь) лично присутствовать на заседании комиссии по соблюдению требований к служебному поведению гражданских служащих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Херсонской области и урегулированию конфликта интересов при рассмотрении настоящего уведомления (нужное подчеркнуть)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right="-2" w:firstLine="709" w:left="0"/>
        <w:contextualSpacing w:val="false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right="-2" w:firstLine="0" w:left="0"/>
        <w:contextualSpacing w:val="false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«___»__________202_г.   _____________      ______________________________   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Приложение №2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4961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961"/>
        <w:jc w:val="left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Порядку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сообщения лицами, замещающими государственные должности и должности государственной гражданской службы Херсонской области в Контрольно-счетной палате Херсонской области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о возникновении личной заинтересованности при исполнении должностных обязанностей , которая приводит или может привести к конфликту интересов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ЖУРНАЛ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регистрации уведомлений </w:t>
      </w:r>
      <w:r>
        <w:rPr>
          <w:rFonts w:ascii="Times New Roman" w:hAnsi="Times New Roman"/>
          <w:b/>
          <w:bCs/>
          <w:sz w:val="28"/>
          <w:szCs w:val="28"/>
        </w:rPr>
        <w:t xml:space="preserve">о возникновении личной заинтересованности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исполнении должностных обязанностей , которая приводит или может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привести к конфликту интересов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tbl>
      <w:tblPr>
        <w:tblStyle w:val="72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33"/>
        <w:gridCol w:w="1242"/>
        <w:gridCol w:w="1158"/>
        <w:gridCol w:w="1158"/>
        <w:gridCol w:w="1158"/>
        <w:gridCol w:w="1158"/>
        <w:gridCol w:w="1158"/>
        <w:gridCol w:w="1158"/>
        <w:gridCol w:w="1667"/>
      </w:tblGrid>
      <w:tr>
        <w:trPr/>
        <w:tc>
          <w:tcPr>
            <w:tcW w:w="533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№  п/п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Регистрационный номер уведомления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Дата регистрации уведомления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2315" w:type="dxa"/>
            <w:gridSpan w:val="2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Уведомление представлено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3473" w:type="dxa"/>
            <w:gridSpan w:val="3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Уведомление зарегистрировано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Отметка о получении копии уведомления (копию получил) либо о направлении копии уведомления по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почте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1242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1158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Ф.И.О.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должность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Ф.И.О.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должность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подпись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vMerge w:val="continue"/>
            <w:tcBorders/>
            <w:noWrap w:val="false"/>
            <w:textDirection w:val="lrTb"/>
          </w:tcPr>
          <w:p>
            <w:pPr>
              <w:pBdr/>
              <w:spacing/>
              <w:ind/>
              <w:rPr/>
            </w:pPr>
          </w:p>
        </w:tc>
      </w:tr>
      <w:tr>
        <w:trPr/>
        <w:tc>
          <w:tcPr>
            <w:tcW w:w="533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vMerge w:val="restart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242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158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W w:w="1667" w:type="dxa"/>
            <w:tcBorders/>
            <w:noWrap w:val="false"/>
            <w:textDirection w:val="lrTb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6837" w:orient="portrait" w:w="11905"/>
      <w:pgMar w:top="1134" w:right="567" w:bottom="1134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center"/>
      <w:rPr/>
    </w:pPr>
    <w:fldSimple w:instr="PAGE \* MERGEFORMAT">
      <w:r>
        <w:t xml:space="preserve">1</w:t>
      </w:r>
    </w:fldSimple>
  </w:p>
  <w:p>
    <w:pPr>
      <w:pStyle w:val="886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3">
    <w:lvl w:ilvl="0">
      <w:isLgl w:val="false"/>
      <w:lvlJc w:val="left"/>
      <w:lvlText w:val="2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4">
    <w:lvl w:ilvl="0">
      <w:isLgl w:val="false"/>
      <w:lvlJc w:val="left"/>
      <w:lvlText w:val="3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6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  <w:strike w:val="0"/>
      </w:rPr>
      <w:start w:val="8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8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0">
    <w:lvl w:ilvl="0">
      <w:isLgl w:val="false"/>
      <w:lvlJc w:val="left"/>
      <w:lvlText w:val="3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2">
    <w:lvl w:ilvl="0">
      <w:isLgl w:val="false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510" w:left="51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510" w:left="1787"/>
      </w:pPr>
      <w:rPr>
        <w:rFonts w:hint="default" w:cs="Times New Roman"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422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633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48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695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546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757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8968"/>
      </w:pPr>
      <w:rPr>
        <w:rFonts w:hint="default" w:cs="Times New Roman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6">
    <w:lvl w:ilvl="0">
      <w:isLgl w:val="false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8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 w:cs="Times New Roman"/>
        <w:b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  <w:b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  <w:b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570" w:left="57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1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0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2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9"/>
  </w:num>
  <w:num w:numId="5">
    <w:abstractNumId w:val="21"/>
  </w:num>
  <w:num w:numId="6">
    <w:abstractNumId w:val="1"/>
  </w:num>
  <w:num w:numId="7">
    <w:abstractNumId w:val="22"/>
  </w:num>
  <w:num w:numId="8">
    <w:abstractNumId w:val="14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15"/>
  </w:num>
  <w:num w:numId="14">
    <w:abstractNumId w:val="20"/>
  </w:num>
  <w:num w:numId="15">
    <w:abstractNumId w:val="18"/>
  </w:num>
  <w:num w:numId="16">
    <w:abstractNumId w:val="12"/>
  </w:num>
  <w:num w:numId="17">
    <w:abstractNumId w:val="3"/>
  </w:num>
  <w:num w:numId="18">
    <w:abstractNumId w:val="10"/>
  </w:num>
  <w:num w:numId="19">
    <w:abstractNumId w:val="5"/>
  </w:num>
  <w:num w:numId="20">
    <w:abstractNumId w:val="17"/>
  </w:num>
  <w:num w:numId="21">
    <w:abstractNumId w:val="13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3"/>
    <w:basedOn w:val="901"/>
    <w:next w:val="901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5">
    <w:name w:val="Heading 4"/>
    <w:basedOn w:val="901"/>
    <w:next w:val="901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6">
    <w:name w:val="Heading 5"/>
    <w:basedOn w:val="901"/>
    <w:next w:val="901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7">
    <w:name w:val="Heading 6"/>
    <w:basedOn w:val="901"/>
    <w:next w:val="901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901"/>
    <w:next w:val="901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901"/>
    <w:next w:val="901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Heading 9"/>
    <w:basedOn w:val="901"/>
    <w:next w:val="901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1 Char"/>
    <w:basedOn w:val="904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904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904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904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90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904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904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904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90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01"/>
    <w:next w:val="901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904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01"/>
    <w:next w:val="901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904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01"/>
    <w:next w:val="901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4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1"/>
    <w:next w:val="901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4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1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6">
    <w:name w:val="Header"/>
    <w:basedOn w:val="901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>
    <w:name w:val="Header Char"/>
    <w:basedOn w:val="904"/>
    <w:link w:val="886"/>
    <w:uiPriority w:val="99"/>
    <w:pPr>
      <w:pBdr/>
      <w:spacing/>
      <w:ind/>
    </w:pPr>
  </w:style>
  <w:style w:type="paragraph" w:styleId="888">
    <w:name w:val="Footer"/>
    <w:basedOn w:val="901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9">
    <w:name w:val="Footer Char"/>
    <w:basedOn w:val="904"/>
    <w:link w:val="888"/>
    <w:uiPriority w:val="99"/>
    <w:pPr>
      <w:pBdr/>
      <w:spacing/>
      <w:ind/>
    </w:pPr>
  </w:style>
  <w:style w:type="paragraph" w:styleId="890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1">
    <w:name w:val="footnote text"/>
    <w:basedOn w:val="901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Text Char"/>
    <w:basedOn w:val="904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901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Endnote Text Char"/>
    <w:basedOn w:val="904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8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902">
    <w:name w:val="Heading 1"/>
    <w:basedOn w:val="901"/>
    <w:next w:val="901"/>
    <w:link w:val="907"/>
    <w:uiPriority w:val="99"/>
    <w:qFormat/>
    <w:pPr>
      <w:keepNext w:val="true"/>
      <w:widowControl w:val="false"/>
      <w:pBdr/>
      <w:spacing w:after="0" w:before="240" w:line="240" w:lineRule="auto"/>
      <w:ind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styleId="903">
    <w:name w:val="Heading 2"/>
    <w:basedOn w:val="901"/>
    <w:next w:val="901"/>
    <w:link w:val="908"/>
    <w:uiPriority w:val="99"/>
    <w:qFormat/>
    <w:pPr>
      <w:keepNext w:val="true"/>
      <w:pBdr/>
      <w:tabs>
        <w:tab w:val="left" w:leader="none" w:pos="204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bCs/>
      <w:sz w:val="28"/>
      <w:szCs w:val="24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 w:customStyle="1">
    <w:name w:val="Заголовок 1 Знак"/>
    <w:link w:val="902"/>
    <w:uiPriority w:val="99"/>
    <w:pPr>
      <w:pBdr/>
      <w:spacing/>
      <w:ind/>
    </w:pPr>
    <w:rPr>
      <w:rFonts w:ascii="Times New Roman" w:hAnsi="Times New Roman" w:cs="Times New Roman"/>
      <w:b/>
      <w:sz w:val="20"/>
      <w:szCs w:val="20"/>
      <w:lang w:val="en-US"/>
    </w:rPr>
  </w:style>
  <w:style w:type="character" w:styleId="908" w:customStyle="1">
    <w:name w:val="Заголовок 2 Знак"/>
    <w:link w:val="903"/>
    <w:uiPriority w:val="99"/>
    <w:pPr>
      <w:pBdr/>
      <w:spacing/>
      <w:ind/>
    </w:pPr>
    <w:rPr>
      <w:rFonts w:ascii="Times New Roman" w:hAnsi="Times New Roman" w:cs="Times New Roman"/>
      <w:b/>
      <w:bCs/>
      <w:sz w:val="24"/>
      <w:szCs w:val="24"/>
    </w:rPr>
  </w:style>
  <w:style w:type="character" w:styleId="909" w:customStyle="1">
    <w:name w:val="Основной текст (2)_"/>
    <w:link w:val="911"/>
    <w:uiPriority w:val="99"/>
    <w:pPr>
      <w:pBdr/>
      <w:spacing/>
      <w:ind/>
    </w:pPr>
    <w:rPr>
      <w:rFonts w:ascii="Times New Roman" w:hAnsi="Times New Roman" w:cs="Times New Roman"/>
      <w:sz w:val="27"/>
      <w:szCs w:val="27"/>
      <w:shd w:val="clear" w:color="auto" w:fill="ffffff"/>
    </w:rPr>
  </w:style>
  <w:style w:type="character" w:styleId="910" w:customStyle="1">
    <w:name w:val="Основной текст_"/>
    <w:link w:val="912"/>
    <w:uiPriority w:val="99"/>
    <w:pPr>
      <w:pBdr/>
      <w:spacing/>
      <w:ind/>
    </w:pPr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11" w:customStyle="1">
    <w:name w:val="Основной текст (2)"/>
    <w:basedOn w:val="901"/>
    <w:link w:val="909"/>
    <w:uiPriority w:val="99"/>
    <w:pPr>
      <w:pBdr/>
      <w:shd w:val="clear" w:color="auto" w:fill="ffffff"/>
      <w:spacing w:after="300" w:before="300" w:line="240" w:lineRule="atLeast"/>
      <w:ind/>
      <w:jc w:val="both"/>
    </w:pPr>
    <w:rPr>
      <w:rFonts w:ascii="Times New Roman" w:hAnsi="Times New Roman"/>
      <w:sz w:val="27"/>
      <w:szCs w:val="27"/>
    </w:rPr>
  </w:style>
  <w:style w:type="paragraph" w:styleId="912" w:customStyle="1">
    <w:name w:val="Основной текст1"/>
    <w:basedOn w:val="901"/>
    <w:link w:val="910"/>
    <w:uiPriority w:val="99"/>
    <w:pPr>
      <w:pBdr/>
      <w:shd w:val="clear" w:color="auto" w:fill="ffffff"/>
      <w:spacing w:after="300" w:before="300" w:line="324" w:lineRule="exact"/>
      <w:ind w:hanging="500"/>
    </w:pPr>
    <w:rPr>
      <w:rFonts w:ascii="Times New Roman" w:hAnsi="Times New Roman"/>
      <w:sz w:val="28"/>
      <w:szCs w:val="28"/>
    </w:rPr>
  </w:style>
  <w:style w:type="paragraph" w:styleId="913" w:customStyle="1">
    <w:name w:val="Основной текст2"/>
    <w:basedOn w:val="901"/>
    <w:uiPriority w:val="99"/>
    <w:pPr>
      <w:pBdr/>
      <w:shd w:val="clear" w:color="auto" w:fill="ffffff"/>
      <w:spacing w:after="300" w:before="300" w:line="324" w:lineRule="exact"/>
      <w:ind w:hanging="500"/>
    </w:pPr>
    <w:rPr>
      <w:rFonts w:ascii="Times New Roman" w:hAnsi="Times New Roman"/>
      <w:color w:val="000000"/>
      <w:sz w:val="28"/>
      <w:szCs w:val="28"/>
    </w:rPr>
  </w:style>
  <w:style w:type="character" w:styleId="914" w:customStyle="1">
    <w:name w:val="Основной текст (4)_"/>
    <w:link w:val="915"/>
    <w:uiPriority w:val="99"/>
    <w:pPr>
      <w:pBdr/>
      <w:spacing/>
      <w:ind/>
    </w:pPr>
    <w:rPr>
      <w:rFonts w:ascii="Times New Roman" w:hAnsi="Times New Roman" w:cs="Times New Roman"/>
      <w:sz w:val="9"/>
      <w:szCs w:val="9"/>
      <w:shd w:val="clear" w:color="auto" w:fill="ffffff"/>
    </w:rPr>
  </w:style>
  <w:style w:type="paragraph" w:styleId="915" w:customStyle="1">
    <w:name w:val="Основной текст (4)"/>
    <w:basedOn w:val="901"/>
    <w:link w:val="914"/>
    <w:uiPriority w:val="99"/>
    <w:pPr>
      <w:pBdr/>
      <w:shd w:val="clear" w:color="auto" w:fill="ffffff"/>
      <w:spacing w:after="120" w:line="240" w:lineRule="atLeast"/>
      <w:ind/>
    </w:pPr>
    <w:rPr>
      <w:rFonts w:ascii="Times New Roman" w:hAnsi="Times New Roman"/>
      <w:sz w:val="9"/>
      <w:szCs w:val="9"/>
    </w:rPr>
  </w:style>
  <w:style w:type="paragraph" w:styleId="916">
    <w:name w:val="List Paragraph"/>
    <w:basedOn w:val="901"/>
    <w:uiPriority w:val="99"/>
    <w:qFormat/>
    <w:pPr>
      <w:pBdr/>
      <w:spacing/>
      <w:ind w:left="720"/>
      <w:contextualSpacing w:val="true"/>
    </w:pPr>
  </w:style>
  <w:style w:type="paragraph" w:styleId="917">
    <w:name w:val="Body Text Indent"/>
    <w:basedOn w:val="901"/>
    <w:link w:val="918"/>
    <w:uiPriority w:val="99"/>
    <w:pPr>
      <w:pBdr/>
      <w:spacing w:after="0" w:line="240" w:lineRule="auto"/>
      <w:ind w:firstLine="5400" w:left="180"/>
    </w:pPr>
    <w:rPr>
      <w:rFonts w:ascii="Times New Roman" w:hAnsi="Times New Roman"/>
      <w:bCs/>
      <w:sz w:val="28"/>
      <w:szCs w:val="24"/>
    </w:rPr>
  </w:style>
  <w:style w:type="character" w:styleId="918" w:customStyle="1">
    <w:name w:val="Основной текст с отступом Знак"/>
    <w:link w:val="917"/>
    <w:uiPriority w:val="99"/>
    <w:pPr>
      <w:pBdr/>
      <w:spacing/>
      <w:ind/>
    </w:pPr>
    <w:rPr>
      <w:rFonts w:ascii="Times New Roman" w:hAnsi="Times New Roman" w:cs="Times New Roman"/>
      <w:bCs/>
      <w:sz w:val="24"/>
      <w:szCs w:val="24"/>
    </w:rPr>
  </w:style>
  <w:style w:type="paragraph" w:styleId="919">
    <w:name w:val="Balloon Text"/>
    <w:basedOn w:val="901"/>
    <w:link w:val="920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link w:val="91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1" w:customStyle="1">
    <w:name w:val="Прижатый влево"/>
    <w:basedOn w:val="901"/>
    <w:next w:val="901"/>
    <w:uiPriority w:val="99"/>
    <w:pPr>
      <w:pBdr/>
      <w:spacing w:after="0" w:line="240" w:lineRule="auto"/>
      <w:ind/>
    </w:pPr>
    <w:rPr>
      <w:rFonts w:ascii="Arial" w:hAnsi="Arial" w:cs="Arial"/>
      <w:sz w:val="24"/>
      <w:szCs w:val="24"/>
    </w:rPr>
  </w:style>
  <w:style w:type="character" w:styleId="922" w:customStyle="1">
    <w:name w:val="Гипертекстовая ссылка"/>
    <w:uiPriority w:val="99"/>
    <w:pPr>
      <w:pBdr/>
      <w:spacing/>
      <w:ind/>
    </w:pPr>
    <w:rPr>
      <w:rFonts w:cs="Times New Roman"/>
      <w:color w:val="008000"/>
    </w:rPr>
  </w:style>
  <w:style w:type="character" w:styleId="923" w:customStyle="1">
    <w:name w:val="Цветовое выделение"/>
    <w:uiPriority w:val="99"/>
    <w:pPr>
      <w:pBdr/>
      <w:spacing/>
      <w:ind/>
    </w:pPr>
    <w:rPr>
      <w:b/>
      <w:color w:val="000080"/>
    </w:rPr>
  </w:style>
  <w:style w:type="paragraph" w:styleId="924" w:customStyle="1">
    <w:name w:val="Таблицы (моноширинный)"/>
    <w:basedOn w:val="901"/>
    <w:next w:val="901"/>
    <w:uiPriority w:val="99"/>
    <w:pPr>
      <w:pBdr/>
      <w:spacing w:after="0" w:line="240" w:lineRule="auto"/>
      <w:ind/>
      <w:jc w:val="both"/>
    </w:pPr>
    <w:rPr>
      <w:rFonts w:ascii="Courier New" w:hAnsi="Courier New" w:cs="Courier New"/>
      <w:sz w:val="24"/>
      <w:szCs w:val="24"/>
    </w:rPr>
  </w:style>
  <w:style w:type="paragraph" w:styleId="925" w:customStyle="1">
    <w:name w:val="Нормальный (таблица)"/>
    <w:basedOn w:val="901"/>
    <w:next w:val="901"/>
    <w:uiPriority w:val="99"/>
    <w:pPr>
      <w:pBdr/>
      <w:spacing w:after="0" w:line="240" w:lineRule="auto"/>
      <w:ind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garantF1://12064203.905" TargetMode="External"/><Relationship Id="rId11" Type="http://schemas.openxmlformats.org/officeDocument/2006/relationships/hyperlink" Target="garantF1://12064203.9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jur5872</dc:creator>
  <cp:keywords/>
  <dc:description/>
  <cp:revision>14</cp:revision>
  <dcterms:created xsi:type="dcterms:W3CDTF">2012-06-29T12:01:00Z</dcterms:created>
  <dcterms:modified xsi:type="dcterms:W3CDTF">2025-01-16T07:59:01Z</dcterms:modified>
</cp:coreProperties>
</file>