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9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приказу Председателя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 Херсонской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06 декабря  2024 № 69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_Hlk10981207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коррупционно-опасных функций в </w:t>
      </w:r>
      <w:bookmarkStart w:id="1" w:name="_Hlk109139508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Контрольно-счётной палате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Херсонской области</w:t>
      </w:r>
      <w:bookmarkEnd w:id="0"/>
      <w:bookmarkEnd w:id="1"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320"/>
        </w:tabs>
        <w:spacing w:after="0" w:line="240" w:lineRule="auto"/>
        <w:ind w:right="110"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Осуществление контроля за законностью и эффективностью использования средств бюджета Херсонской области, бюджета территориального государственного внебюджетного фонда, а также иных средств в случаях, предусмотренных законодательством Российской </w:t>
      </w:r>
      <w:r>
        <w:rPr>
          <w:rFonts w:ascii="Times New Roman" w:hAnsi="Times New Roman" w:eastAsia="Times New Roman" w:cs="Times New Roman"/>
          <w:spacing w:val="-2"/>
          <w:sz w:val="28"/>
        </w:rPr>
        <w:t xml:space="preserve">Федерации.</w:t>
      </w:r>
      <w:r>
        <w:rPr>
          <w:rFonts w:ascii="Times New Roman" w:hAnsi="Times New Roman" w:cs="Times New Roman"/>
          <w:sz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320"/>
        </w:tabs>
        <w:spacing w:after="0" w:line="240" w:lineRule="auto"/>
        <w:ind w:right="11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Экспертиза проектов законов о бюджете Херсонской области и проектов законов о бюджетах территориального государственного внебюджетного фонда, проверка и анализ обоснованности их показателей.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320"/>
        </w:tabs>
        <w:spacing w:after="0" w:line="240" w:lineRule="auto"/>
        <w:ind w:right="11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Внешняя проверка годового отчета об исполнении бюджета Херсонской области, об исполнении местного бюджета в пределах компетенции, установленной Бюджетным кодексом Российской Федерации, годового отчета</w:t>
      </w:r>
      <w:r>
        <w:rPr>
          <w:rFonts w:ascii="Times New Roman" w:hAnsi="Times New Roman" w:eastAsia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об исполнении</w:t>
      </w:r>
      <w:r>
        <w:rPr>
          <w:rFonts w:ascii="Times New Roman" w:hAnsi="Times New Roman" w:eastAsia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бюджета территориального государственного внебюджетного фонда.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320"/>
        </w:tabs>
        <w:spacing w:after="0" w:line="240" w:lineRule="auto"/>
        <w:ind w:right="11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numPr>
          <w:ilvl w:val="0"/>
          <w:numId w:val="23"/>
        </w:numPr>
        <w:pBdr/>
        <w:spacing w:after="0" w:line="240" w:lineRule="auto"/>
        <w:ind w:right="113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Оценка эффективности формирования государственной собственности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168"/>
        </w:tabs>
        <w:spacing w:after="0" w:before="1" w:line="240" w:lineRule="auto"/>
        <w:ind w:right="108"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Оценка эффективности предоставления налоговых и иных льгот и преимуществ, бюджетных кредитов за </w:t>
      </w:r>
      <w:r>
        <w:rPr>
          <w:rFonts w:ascii="Times New Roman" w:hAnsi="Times New Roman" w:eastAsia="Times New Roman" w:cs="Times New Roman"/>
          <w:sz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</w:rPr>
        <w:t xml:space="preserve"> средств бюджета Херсонской области, а также оценка законности предоставления государственных гарантий и поручительств или обеспечения исполнения обязательств</w:t>
      </w:r>
      <w:r>
        <w:rPr>
          <w:rFonts w:ascii="Times New Roman" w:hAnsi="Times New Roman" w:eastAsia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другими способами по сделкам, совершаемым юридическими лицами и индивидуальными предпринимателями за </w:t>
      </w:r>
      <w:r>
        <w:rPr>
          <w:rFonts w:ascii="Times New Roman" w:hAnsi="Times New Roman" w:eastAsia="Times New Roman" w:cs="Times New Roman"/>
          <w:sz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</w:rPr>
        <w:t xml:space="preserve"> средств бюджета Херсонской области и имущества, находящегося в государственной собственности Херсонской области.</w:t>
      </w:r>
      <w:r>
        <w:rPr>
          <w:rFonts w:ascii="Times New Roman" w:hAnsi="Times New Roman" w:cs="Times New Roman"/>
          <w:sz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154"/>
        </w:tabs>
        <w:spacing w:after="0" w:line="240" w:lineRule="auto"/>
        <w:ind w:right="111"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Экспе</w:t>
      </w:r>
      <w:r>
        <w:rPr>
          <w:rFonts w:ascii="Times New Roman" w:hAnsi="Times New Roman" w:eastAsia="Times New Roman" w:cs="Times New Roman"/>
          <w:sz w:val="28"/>
        </w:rPr>
        <w:t xml:space="preserve">ртиза проектов законов и иных нормативных правовых актов органов государственной власти Херсонской области в части, касающейся расходных обязательств Херсонской области, экспертиза проектов законов Херсонской области, приводящих к изменению доходов бюджета</w:t>
      </w:r>
      <w:r>
        <w:rPr>
          <w:rFonts w:ascii="Times New Roman" w:hAnsi="Times New Roman" w:eastAsia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Херсонской </w:t>
      </w:r>
      <w:r>
        <w:rPr>
          <w:rFonts w:ascii="Times New Roman" w:hAnsi="Times New Roman" w:eastAsia="Times New Roman" w:cs="Times New Roman"/>
          <w:sz w:val="28"/>
        </w:rPr>
        <w:t xml:space="preserve">области и бюджета территориального государственного внебюджетного фонда, а также государственных программ (проектов государственных программ).</w:t>
      </w:r>
      <w:r>
        <w:rPr>
          <w:rFonts w:ascii="Times New Roman" w:hAnsi="Times New Roman" w:cs="Times New Roman"/>
          <w:sz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125"/>
        </w:tabs>
        <w:spacing w:after="0" w:line="240" w:lineRule="auto"/>
        <w:ind w:right="110"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Анализ и мониторинг бюджетного процесса в Херсонской области, в том числе подготовка предложений по устранению выявленных отклонений</w:t>
      </w:r>
      <w:r>
        <w:rPr>
          <w:rFonts w:ascii="Times New Roman" w:hAnsi="Times New Roman" w:eastAsia="Times New Roman" w:cs="Times New Roman"/>
          <w:spacing w:val="8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в бюджетном процессе и совершенствованию бюджетного законодательства Российской Федерации.</w:t>
      </w:r>
      <w:r>
        <w:rPr>
          <w:rFonts w:ascii="Times New Roman" w:hAnsi="Times New Roman" w:cs="Times New Roman"/>
          <w:sz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310"/>
        </w:tabs>
        <w:spacing w:after="0" w:before="1" w:line="240" w:lineRule="auto"/>
        <w:ind w:right="105"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Контроль за законностью и эффективностью использования</w:t>
      </w:r>
      <w:r>
        <w:rPr>
          <w:rFonts w:ascii="Times New Roman" w:hAnsi="Times New Roman" w:eastAsia="Times New Roman" w:cs="Times New Roman"/>
          <w:sz w:val="28"/>
        </w:rPr>
        <w:t xml:space="preserve"> межбюджетных трансфертов, предоставленных из бюджета Херсонской области бюджетам муниципальных образований, расположенных на территории Херсонской области, а также проверка местных бюджетов в случаях, установленных Бюджетным кодексом Российской Федерации.</w:t>
      </w:r>
      <w:r>
        <w:rPr>
          <w:rFonts w:ascii="Times New Roman" w:hAnsi="Times New Roman" w:cs="Times New Roman"/>
          <w:sz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389"/>
        </w:tabs>
        <w:spacing w:after="0" w:before="1" w:line="240" w:lineRule="auto"/>
        <w:ind w:right="109"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Проведение оперативного анализа исполнения и контроля за организацией исполнения бюджета Херсонской области, бюджета территориального государственного внебюджетного фонда в текущем финансовом году, ежеквартальное представление и</w:t>
      </w:r>
      <w:r>
        <w:rPr>
          <w:rFonts w:ascii="Times New Roman" w:hAnsi="Times New Roman" w:eastAsia="Times New Roman" w:cs="Times New Roman"/>
          <w:sz w:val="28"/>
        </w:rPr>
        <w:t xml:space="preserve">нформации о ходе исполнения бюджета Херсонской области, бюджета территориального государственного внебюджетного фонда, о результатах проведенных контрольных и экспертно-аналитических мероприятий в Херсонскую областную Думу и Губернатору Херсонской области.</w:t>
      </w:r>
      <w:r>
        <w:rPr>
          <w:rFonts w:ascii="Times New Roman" w:hAnsi="Times New Roman" w:cs="Times New Roman"/>
          <w:sz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504"/>
        </w:tabs>
        <w:spacing w:after="0" w:line="240" w:lineRule="auto"/>
        <w:ind w:right="115"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Осуществление контроля за состоянием государственного внутреннего и внешнего долга Херсонской области.</w:t>
      </w:r>
      <w:r>
        <w:rPr>
          <w:rFonts w:ascii="Times New Roman" w:hAnsi="Times New Roman" w:cs="Times New Roman"/>
          <w:sz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336"/>
        </w:tabs>
        <w:spacing w:after="0" w:line="240" w:lineRule="auto"/>
        <w:ind w:right="114"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Оценка реализуемости, рисков и результатов достижения целей социально-экономического развития Херсонской области, предусмотренных документами стратегического планирования Херсонской области, в пределах компетенции Контрольно-</w:t>
      </w:r>
      <w:r>
        <w:rPr>
          <w:rFonts w:ascii="Times New Roman" w:hAnsi="Times New Roman" w:eastAsia="Times New Roman" w:cs="Times New Roman"/>
          <w:sz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</w:rPr>
        <w:t xml:space="preserve">ной палаты.</w:t>
      </w:r>
      <w:r>
        <w:rPr>
          <w:rFonts w:ascii="Times New Roman" w:hAnsi="Times New Roman" w:cs="Times New Roman"/>
          <w:sz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536"/>
        </w:tabs>
        <w:spacing w:after="0" w:line="240" w:lineRule="auto"/>
        <w:ind w:right="113"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Аудит в сфере государственных закупок.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numPr>
          <w:ilvl w:val="0"/>
          <w:numId w:val="23"/>
        </w:numPr>
        <w:pBdr/>
        <w:tabs>
          <w:tab w:val="left" w:leader="none" w:pos="1536"/>
        </w:tabs>
        <w:spacing w:after="0" w:line="240" w:lineRule="auto"/>
        <w:ind w:right="113" w:firstLine="709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Осуществление закупок товаров, работ, услуг для обеспечения нужд Контрольно-</w:t>
      </w:r>
      <w:r>
        <w:rPr>
          <w:rFonts w:ascii="Times New Roman" w:hAnsi="Times New Roman" w:eastAsia="Times New Roman" w:cs="Times New Roman"/>
          <w:sz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</w:rPr>
        <w:t xml:space="preserve">ной палаты Херсонской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536"/>
        </w:tabs>
        <w:spacing w:after="0" w:line="240" w:lineRule="auto"/>
        <w:ind w:right="113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15. Обеспечение контроля за сохранением и распределением материально-технических ресурсов.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536"/>
        </w:tabs>
        <w:spacing w:after="0" w:line="240" w:lineRule="auto"/>
        <w:ind w:right="113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16. Кадровое обеспечение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536"/>
        </w:tabs>
        <w:spacing w:after="0" w:line="240" w:lineRule="auto"/>
        <w:ind w:right="113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17. Составление протоколов об административных правонарушениях.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536"/>
        </w:tabs>
        <w:spacing w:after="0" w:line="240" w:lineRule="auto"/>
        <w:ind w:right="113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18. Проведение необходимых мероприятий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предупреждению, профилактике и противодействию коррупции.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536"/>
        </w:tabs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536"/>
        </w:tabs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536"/>
        </w:tabs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аппарата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Контрольно-счетной палаты                                                                     И.А. Яговдик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536"/>
        </w:tabs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</w:p>
  <w:p>
    <w:pPr>
      <w:pStyle w:val="920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1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3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5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7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9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1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3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5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1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3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5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7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9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1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3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59"/>
      </w:pPr>
      <w:rPr/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046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993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9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88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3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77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72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673"/>
      </w:pPr>
      <w:rPr>
        <w:rFonts w:hint="default"/>
        <w:lang w:val="ru-RU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8"/>
  </w:num>
  <w:num w:numId="2">
    <w:abstractNumId w:val="32"/>
  </w:num>
  <w:num w:numId="3">
    <w:abstractNumId w:val="11"/>
  </w:num>
  <w:num w:numId="4">
    <w:abstractNumId w:val="28"/>
  </w:num>
  <w:num w:numId="5">
    <w:abstractNumId w:val="29"/>
  </w:num>
  <w:num w:numId="6">
    <w:abstractNumId w:val="14"/>
  </w:num>
  <w:num w:numId="7">
    <w:abstractNumId w:val="7"/>
  </w:num>
  <w:num w:numId="8">
    <w:abstractNumId w:val="6"/>
  </w:num>
  <w:num w:numId="9">
    <w:abstractNumId w:val="17"/>
  </w:num>
  <w:num w:numId="10">
    <w:abstractNumId w:val="9"/>
  </w:num>
  <w:num w:numId="11">
    <w:abstractNumId w:val="26"/>
  </w:num>
  <w:num w:numId="12">
    <w:abstractNumId w:val="34"/>
  </w:num>
  <w:num w:numId="13">
    <w:abstractNumId w:val="19"/>
  </w:num>
  <w:num w:numId="14">
    <w:abstractNumId w:val="8"/>
  </w:num>
  <w:num w:numId="15">
    <w:abstractNumId w:val="1"/>
  </w:num>
  <w:num w:numId="16">
    <w:abstractNumId w:val="22"/>
  </w:num>
  <w:num w:numId="17">
    <w:abstractNumId w:val="0"/>
  </w:num>
  <w:num w:numId="18">
    <w:abstractNumId w:val="15"/>
  </w:num>
  <w:num w:numId="19">
    <w:abstractNumId w:val="27"/>
  </w:num>
  <w:num w:numId="20">
    <w:abstractNumId w:val="30"/>
  </w:num>
  <w:num w:numId="21">
    <w:abstractNumId w:val="21"/>
  </w:num>
  <w:num w:numId="22">
    <w:abstractNumId w:val="24"/>
  </w:num>
  <w:num w:numId="23">
    <w:abstractNumId w:val="3"/>
  </w:num>
  <w:num w:numId="24">
    <w:abstractNumId w:val="12"/>
  </w:num>
  <w:num w:numId="25">
    <w:abstractNumId w:val="13"/>
  </w:num>
  <w:num w:numId="26">
    <w:abstractNumId w:val="25"/>
  </w:num>
  <w:num w:numId="27">
    <w:abstractNumId w:val="4"/>
  </w:num>
  <w:num w:numId="28">
    <w:abstractNumId w:val="35"/>
  </w:num>
  <w:num w:numId="29">
    <w:abstractNumId w:val="5"/>
  </w:num>
  <w:num w:numId="30">
    <w:abstractNumId w:val="36"/>
  </w:num>
  <w:num w:numId="31">
    <w:abstractNumId w:val="16"/>
  </w:num>
  <w:num w:numId="32">
    <w:abstractNumId w:val="33"/>
  </w:num>
  <w:num w:numId="33">
    <w:abstractNumId w:val="31"/>
  </w:num>
  <w:num w:numId="34">
    <w:abstractNumId w:val="20"/>
  </w:num>
  <w:num w:numId="35">
    <w:abstractNumId w:val="2"/>
  </w:num>
  <w:num w:numId="36">
    <w:abstractNumId w:val="2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67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67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67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67"/>
    <w:link w:val="9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67"/>
    <w:link w:val="920"/>
    <w:uiPriority w:val="99"/>
    <w:pPr>
      <w:pBdr/>
      <w:spacing/>
      <w:ind/>
    </w:pPr>
  </w:style>
  <w:style w:type="character" w:styleId="178">
    <w:name w:val="Footer Char"/>
    <w:basedOn w:val="767"/>
    <w:link w:val="922"/>
    <w:uiPriority w:val="99"/>
    <w:pPr>
      <w:pBdr/>
      <w:spacing/>
      <w:ind/>
    </w:pPr>
  </w:style>
  <w:style w:type="character" w:styleId="181">
    <w:name w:val="Footnote Text Char"/>
    <w:basedOn w:val="767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67"/>
    <w:link w:val="928"/>
    <w:uiPriority w:val="99"/>
    <w:semiHidden/>
    <w:pPr>
      <w:pBdr/>
      <w:spacing/>
      <w:ind/>
    </w:pPr>
    <w:rPr>
      <w:sz w:val="20"/>
      <w:szCs w:val="20"/>
    </w:rPr>
  </w:style>
  <w:style w:type="paragraph" w:styleId="757" w:default="1">
    <w:name w:val="Normal"/>
    <w:qFormat/>
    <w:pPr>
      <w:pBdr/>
      <w:spacing/>
      <w:ind/>
    </w:pPr>
  </w:style>
  <w:style w:type="paragraph" w:styleId="758">
    <w:name w:val="Heading 1"/>
    <w:basedOn w:val="757"/>
    <w:next w:val="757"/>
    <w:link w:val="8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59">
    <w:name w:val="Heading 2"/>
    <w:basedOn w:val="757"/>
    <w:next w:val="757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0">
    <w:name w:val="Heading 3"/>
    <w:basedOn w:val="757"/>
    <w:next w:val="757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1">
    <w:name w:val="Heading 4"/>
    <w:basedOn w:val="757"/>
    <w:next w:val="757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2">
    <w:name w:val="Heading 5"/>
    <w:basedOn w:val="757"/>
    <w:next w:val="757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63">
    <w:name w:val="Heading 6"/>
    <w:basedOn w:val="757"/>
    <w:next w:val="757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4">
    <w:name w:val="Heading 7"/>
    <w:basedOn w:val="757"/>
    <w:next w:val="757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5">
    <w:name w:val="Heading 8"/>
    <w:basedOn w:val="757"/>
    <w:next w:val="757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6">
    <w:name w:val="Heading 9"/>
    <w:basedOn w:val="757"/>
    <w:next w:val="757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table" w:styleId="770">
    <w:name w:val="Table Grid"/>
    <w:basedOn w:val="76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Table Grid Light"/>
    <w:basedOn w:val="76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76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76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eebf6" w:themeColor="accent1" w:themeTint="32" w:fill="deebf6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8a8a8a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8a8a8a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b3d0eb" w:themeColor="accent1" w:themeTint="75" w:fill="b3d0eb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3d0eb" w:themeColor="accent1" w:themeTint="75" w:fill="b3d0eb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6c3a0" w:themeColor="accent2" w:themeTint="75" w:fill="f6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6c3a0" w:themeColor="accent2" w:themeTint="75" w:fill="f6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d5d5d5" w:themeColor="accent3" w:themeTint="75" w:fill="d5d5d5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d5d5" w:themeColor="accent3" w:themeTint="75" w:fill="d5d5d5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e28a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28a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9bee4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9bee4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bcdba8" w:themeColor="accent6" w:themeTint="75" w:fill="bc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cdba8" w:themeColor="accent6" w:themeTint="75" w:fill="bc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1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2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3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4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5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6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 w:customStyle="1">
    <w:name w:val="Заголовок 1 Знак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97" w:customStyle="1">
    <w:name w:val="Заголовок 2 Знак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98" w:customStyle="1">
    <w:name w:val="Заголовок 3 Знак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99" w:customStyle="1">
    <w:name w:val="Заголовок 4 Знак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00" w:customStyle="1">
    <w:name w:val="Заголовок 5 Знак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01" w:customStyle="1">
    <w:name w:val="Заголовок 6 Знак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 w:customStyle="1">
    <w:name w:val="Заголовок 7 Знак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 w:customStyle="1">
    <w:name w:val="Заголовок 8 Знак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customStyle="1">
    <w:name w:val="Заголовок 9 Знак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757"/>
    <w:next w:val="757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 w:customStyle="1">
    <w:name w:val="Заголовок Знак"/>
    <w:basedOn w:val="767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757"/>
    <w:next w:val="757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 w:customStyle="1">
    <w:name w:val="Подзаголовок Знак"/>
    <w:basedOn w:val="767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757"/>
    <w:next w:val="757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 w:customStyle="1">
    <w:name w:val="Цитата 2 Знак"/>
    <w:basedOn w:val="767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1">
    <w:name w:val="Intense Emphasis"/>
    <w:basedOn w:val="76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12">
    <w:name w:val="Intense Quote"/>
    <w:basedOn w:val="757"/>
    <w:next w:val="757"/>
    <w:link w:val="91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13" w:customStyle="1">
    <w:name w:val="Выделенная цитата Знак"/>
    <w:basedOn w:val="767"/>
    <w:link w:val="91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4">
    <w:name w:val="Intense Reference"/>
    <w:basedOn w:val="76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15">
    <w:name w:val="Subtle Emphasis"/>
    <w:basedOn w:val="7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Emphasis"/>
    <w:basedOn w:val="767"/>
    <w:uiPriority w:val="20"/>
    <w:qFormat/>
    <w:pPr>
      <w:pBdr/>
      <w:spacing/>
      <w:ind/>
    </w:pPr>
    <w:rPr>
      <w:i/>
      <w:iCs/>
    </w:rPr>
  </w:style>
  <w:style w:type="character" w:styleId="917">
    <w:name w:val="Strong"/>
    <w:basedOn w:val="767"/>
    <w:uiPriority w:val="22"/>
    <w:qFormat/>
    <w:pPr>
      <w:pBdr/>
      <w:spacing/>
      <w:ind/>
    </w:pPr>
    <w:rPr>
      <w:b/>
      <w:bCs/>
    </w:rPr>
  </w:style>
  <w:style w:type="character" w:styleId="918">
    <w:name w:val="Subtle Reference"/>
    <w:basedOn w:val="7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9">
    <w:name w:val="Book Title"/>
    <w:basedOn w:val="7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0">
    <w:name w:val="Header"/>
    <w:basedOn w:val="757"/>
    <w:link w:val="92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1" w:customStyle="1">
    <w:name w:val="Верхний колонтитул Знак"/>
    <w:basedOn w:val="767"/>
    <w:link w:val="920"/>
    <w:uiPriority w:val="99"/>
    <w:pPr>
      <w:pBdr/>
      <w:spacing/>
      <w:ind/>
    </w:pPr>
  </w:style>
  <w:style w:type="paragraph" w:styleId="922">
    <w:name w:val="Footer"/>
    <w:basedOn w:val="757"/>
    <w:link w:val="9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3" w:customStyle="1">
    <w:name w:val="Нижний колонтитул Знак"/>
    <w:basedOn w:val="767"/>
    <w:link w:val="922"/>
    <w:uiPriority w:val="99"/>
    <w:pPr>
      <w:pBdr/>
      <w:spacing/>
      <w:ind/>
    </w:pPr>
  </w:style>
  <w:style w:type="paragraph" w:styleId="924">
    <w:name w:val="Caption"/>
    <w:basedOn w:val="757"/>
    <w:next w:val="757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25">
    <w:name w:val="footnote text"/>
    <w:basedOn w:val="757"/>
    <w:link w:val="92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6" w:customStyle="1">
    <w:name w:val="Текст сноски Знак"/>
    <w:basedOn w:val="767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ot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757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 w:customStyle="1">
    <w:name w:val="Текст концевой сноски Знак"/>
    <w:basedOn w:val="767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end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character" w:styleId="931">
    <w:name w:val="Hyperlink"/>
    <w:basedOn w:val="7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2">
    <w:name w:val="FollowedHyperlink"/>
    <w:basedOn w:val="7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757"/>
    <w:next w:val="757"/>
    <w:uiPriority w:val="99"/>
    <w:unhideWhenUsed/>
    <w:pPr>
      <w:pBdr/>
      <w:spacing w:after="0"/>
      <w:ind/>
    </w:pPr>
  </w:style>
  <w:style w:type="paragraph" w:styleId="935">
    <w:name w:val="No Spacing"/>
    <w:basedOn w:val="757"/>
    <w:uiPriority w:val="1"/>
    <w:qFormat/>
    <w:pPr>
      <w:pBdr/>
      <w:spacing w:after="0" w:line="240" w:lineRule="auto"/>
      <w:ind/>
    </w:pPr>
  </w:style>
  <w:style w:type="paragraph" w:styleId="936">
    <w:name w:val="List Paragraph"/>
    <w:basedOn w:val="757"/>
    <w:uiPriority w:val="34"/>
    <w:qFormat/>
    <w:pPr>
      <w:pBdr/>
      <w:spacing/>
      <w:ind w:left="720"/>
      <w:contextualSpacing w:val="true"/>
    </w:pPr>
  </w:style>
  <w:style w:type="paragraph" w:styleId="937" w:customStyle="1">
    <w:name w:val="Основной текст1"/>
    <w:uiPriority w:val="1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firstLine="707" w:left="102"/>
      <w:jc w:val="both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2024-12-05T08:59:00Z</dcterms:created>
  <dcterms:modified xsi:type="dcterms:W3CDTF">2024-12-06T08:17:29Z</dcterms:modified>
</cp:coreProperties>
</file>