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04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377"/>
        <w:gridCol w:w="326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7" w:type="dxa"/>
            <w:textDirection w:val="lrTb"/>
            <w:noWrap w:val="false"/>
          </w:tcPr>
          <w:p>
            <w:pPr>
              <w:pStyle w:val="983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1" w:line="276" w:lineRule="auto"/>
              <w:ind/>
              <w:contextualSpacing w:val="false"/>
              <w:jc w:val="left"/>
              <w:rPr/>
            </w:pPr>
            <w:r/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983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afterAutospacing="1" w:line="276" w:lineRule="auto"/>
              <w:ind/>
              <w:contextualSpacing w:val="false"/>
              <w:jc w:val="left"/>
              <w:rPr/>
            </w:pPr>
            <w:r>
              <w:t xml:space="preserve">Утверждено Коллегией Контрольно – счетной палаты Херсонской области от 06 марта 2025 г. № 3</w:t>
            </w:r>
            <w:r/>
          </w:p>
        </w:tc>
      </w:tr>
    </w:tbl>
    <w:p>
      <w:pPr>
        <w:pStyle w:val="983"/>
        <w:pBdr/>
        <w:spacing w:after="0" w:afterAutospacing="1" w:line="276" w:lineRule="auto"/>
        <w:ind/>
        <w:jc w:val="both"/>
        <w:rPr/>
      </w:pPr>
      <w:r/>
      <w:r/>
      <w:r>
        <w:t xml:space="preserve">        </w:t>
      </w:r>
      <w:r/>
    </w:p>
    <w:p>
      <w:pPr>
        <w:pStyle w:val="983"/>
        <w:pBdr/>
        <w:spacing w:after="0" w:afterAutospacing="1" w:line="276" w:lineRule="auto"/>
        <w:ind/>
        <w:jc w:val="right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3360" behindDoc="0" locked="0" layoutInCell="1" allowOverlap="1">
                <wp:simplePos x="0" y="0"/>
                <wp:positionH relativeFrom="column">
                  <wp:posOffset>1813220</wp:posOffset>
                </wp:positionH>
                <wp:positionV relativeFrom="paragraph">
                  <wp:posOffset>186244</wp:posOffset>
                </wp:positionV>
                <wp:extent cx="2516550" cy="2449450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5425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2516549" cy="244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3360;o:allowoverlap:true;o:allowincell:true;mso-position-horizontal-relative:text;margin-left:142.77pt;mso-position-horizontal:absolute;mso-position-vertical-relative:text;margin-top:14.66pt;mso-position-vertical:absolute;width:198.15pt;height:192.87pt;mso-wrap-distance-left:9.07pt;mso-wrap-distance-top:0.00pt;mso-wrap-distance-right:9.07pt;mso-wrap-distance-bottom:0.00pt;rotation:0;z-index:1;" stroked="false">
                <w10:wrap type="square"/>
                <v:imagedata r:id="rId13" o:title=""/>
                <o:lock v:ext="edit" rotation="t"/>
              </v:shape>
            </w:pict>
          </mc:Fallback>
        </mc:AlternateContent>
      </w:r>
      <w:r/>
      <w:r/>
      <w:r>
        <w:t xml:space="preserve">                                                      </w:t>
      </w:r>
      <w:r/>
    </w:p>
    <w:p>
      <w:pPr>
        <w:pBdr/>
        <w:spacing/>
        <w:ind/>
        <w:rPr/>
      </w:pPr>
      <w:r>
        <w:rPr>
          <w:sz w:val="28"/>
          <w:szCs w:val="28"/>
        </w:rPr>
      </w:r>
      <w:r/>
      <w:r/>
    </w:p>
    <w:p>
      <w:pPr>
        <w:pBdr/>
        <w:spacing/>
        <w:ind/>
        <w:rPr/>
      </w:pPr>
      <w:r/>
      <w:r/>
      <w:r/>
    </w:p>
    <w:p>
      <w:pPr>
        <w:pStyle w:val="983"/>
        <w:pBdr/>
        <w:spacing w:after="0" w:afterAutospacing="1" w:line="276" w:lineRule="auto"/>
        <w:ind/>
        <w:jc w:val="center"/>
        <w:rPr>
          <w:b/>
          <w:bCs/>
          <w:sz w:val="44"/>
          <w:szCs w:val="44"/>
        </w:rPr>
      </w:pPr>
      <w:r>
        <w:rPr>
          <w:b/>
          <w:sz w:val="44"/>
        </w:rPr>
      </w:r>
      <w:r>
        <w:rPr>
          <w:b/>
          <w:bCs/>
          <w:sz w:val="44"/>
          <w:szCs w:val="44"/>
        </w:rPr>
      </w:r>
      <w:r>
        <w:rPr>
          <w:b/>
          <w:bCs/>
          <w:sz w:val="44"/>
          <w:szCs w:val="44"/>
        </w:rPr>
      </w:r>
    </w:p>
    <w:p>
      <w:pPr>
        <w:pBdr/>
        <w:spacing w:after="0" w:afterAutospacing="1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afterAutospacing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52"/>
          <w:szCs w:val="52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52"/>
          <w:szCs w:val="52"/>
        </w:rPr>
        <w:t xml:space="preserve">ОТЧЕТ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52"/>
          <w:szCs w:val="5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52"/>
          <w:szCs w:val="52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52"/>
          <w:szCs w:val="52"/>
        </w:rPr>
      </w:r>
    </w:p>
    <w:p>
      <w:pPr>
        <w:pBdr/>
        <w:spacing w:after="0" w:afterAutospacing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8"/>
          <w:szCs w:val="48"/>
        </w:rPr>
        <w:t xml:space="preserve">о деятельности Контрольно-счётной палаты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48"/>
          <w:szCs w:val="48"/>
        </w:rPr>
        <w:t xml:space="preserve">Херсонской области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48"/>
          <w:szCs w:val="48"/>
        </w:rPr>
      </w:r>
    </w:p>
    <w:p>
      <w:pPr>
        <w:pBdr/>
        <w:spacing w:after="0" w:afterAutospacing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8"/>
          <w:szCs w:val="48"/>
        </w:rPr>
        <w:t xml:space="preserve">за 2024 год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48"/>
          <w:szCs w:val="48"/>
        </w:rPr>
      </w:r>
    </w:p>
    <w:p>
      <w:pPr>
        <w:pBdr/>
        <w:spacing w:after="0" w:afterAutospacing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0"/>
        <w:ind/>
        <w:jc w:val="lef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с. Счастливцево 2025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after="0" w:afterAutospacing="1"/>
        <w:ind w:right="284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Стр.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W w:w="9145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675"/>
        <w:gridCol w:w="7598"/>
        <w:gridCol w:w="872"/>
      </w:tblGrid>
      <w:tr>
        <w:trPr>
          <w:jc w:val="center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598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Основная информация и итоги деятельности Контрольно-счетной палаты Херсонской области в 2024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72" w:type="dxa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598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Результаты контрольных и экспертно-аналитических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72" w:type="dxa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33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Контрольные мероприятия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33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Экспертно-аналитические мероприятия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33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Взаимодействие и сотрудничество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33"/>
        </w:trPr>
        <w:tc>
          <w:tcPr>
            <w:tcBorders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Херсонская областная Дума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33"/>
        </w:trPr>
        <w:tc>
          <w:tcPr>
            <w:tcBorders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Губернатор Херсонской области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3.3.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Счетная палата РФ и контрольно-счетные органы субъектов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3.4.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Правоохранительные органы и силовые структуры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10"/>
        </w:trPr>
        <w:tc>
          <w:tcPr>
            <w:tcBorders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3.5.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Соглашения с иными органами и организациями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10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Методологическая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10"/>
        </w:trPr>
        <w:tc>
          <w:tcPr>
            <w:tcBorders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Обеспечение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10"/>
        </w:trPr>
        <w:tc>
          <w:tcPr>
            <w:tcBorders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Материально-технической обеспечение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</w:tr>
      <w:tr>
        <w:trPr>
          <w:jc w:val="center"/>
          <w:trHeight w:val="510"/>
        </w:trPr>
        <w:tc>
          <w:tcPr>
            <w:tcBorders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Кадровое обеспечение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</w:tr>
      <w:tr>
        <w:trPr>
          <w:jc w:val="center"/>
          <w:trHeight w:val="510"/>
        </w:trPr>
        <w:tc>
          <w:tcPr>
            <w:tcBorders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5.3.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Информационное обеспечение деятельности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598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 работы Контрольно-счетной палаты Херсонской области на 2025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533"/>
        </w:trPr>
        <w:tc>
          <w:tcPr>
            <w:tcBorders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Задачи и направления деятельности на перспективу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7598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gridSpan w:val="2"/>
            <w:tcBorders/>
            <w:tcW w:w="8273" w:type="dxa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8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</w:tr>
    </w:tbl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afterAutospacing="1"/>
        <w:ind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 Основная информация и итоги деятельности Контрольно-счётной палаты Херсонской области в 2024 году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Контрольно-счетная палата Херсонской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Контрольно-счётная палата, КСП или Палата)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представляет собой независимый орган внешнего государственного финансового контроля, образованный в 2024 году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Херсонской областной Думой в целях осуществления контроля за формированием и исполнением бюджета Херсонской области, его эффективного использования.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Хронология событий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29.01.2024 – Херсонской областной Думой принят Закон Херсонской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-счётной палате» № 25-ЗХО, который вступил в силу 09.02.2024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19.07.2024 – Контрольно-счётная палата Херсонской области зарегистрирована в ЕГРЮЛ в качестве юридического лица.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22.08.2024 – Постановлением Херсонской областной Думы                       №1-24-76П-ХОД установлена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труктура и штатная численность Контрольно-счётной палаты Херсонской области, начался процесс укомплектования кадров (см. раздел «Обеспечение деятельности»).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18.11.2024 – сформирована Коллегия Контрольно-счётной палаты согласно </w:t>
      </w:r>
      <w:r>
        <w:rPr>
          <w:rFonts w:ascii="Times New Roman" w:hAnsi="Times New Roman" w:cs="Times New Roman"/>
          <w:sz w:val="28"/>
          <w:szCs w:val="28"/>
        </w:rPr>
        <w:t xml:space="preserve">статье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Закона № 25-ЗХО (у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твержденная приказом Председателя КСП), в состав которой вошли Председатель КСП и его заместитель, 2 аудитора КСП (сформирован необходимый кворум для принятия решений).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pBdr/>
        <w:spacing w:after="0" w:afterAutospacing="1"/>
        <w:ind w:right="-2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 деятельности Конт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рольно-счетной палаты Херсонской области в 2024 году (далее – Отчет) подготовлен во исполнение Федерального закона от 07.02.2011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6-ФЗ «Об общих принципах организации и деятельности контрольно-счётных органов субъектов Российской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едерации, федеральных территорий и муниципальных образований»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ФЗ от 07.02.2011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6-ФЗ), Закона Херсонской области от 29.01.2024 № 25-ЗХО «О Контрольно-счётной палате»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 № 25-ЗХО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Бюджетным кодексом РФ (далее – БК РФ) и Регламентом Контрольно-счётной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палаты Херсонской области (далее – Регламент КСП) и отражает обобщающие сведения о результатах деятельности Контрольно-счётной палаты Херсо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кой области в 2024 году.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елью подготовки Отчета о деятельности Палаты является реализация принципа открытости и гласности в деятельности контрольно-счётного органа путем информирования органов государственной власти Херсонской области и общества о результатах своей деятельности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отчётном периоде на основании статьи 12 Закона Херсонской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 от 29.01.2024 № 25-ЗХО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п.5 статьи 12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Закона Херсонской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области от 29.01.2024 № 25-ЗХО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утвержденный годовой план работы Палаты направляется в Херсонскую областную Думу в срок до 30 декабря года, предшествующего планируемому.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Данный Отчет отражает деятельность Контрольно-счё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палаты за период 2024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котором Палата приступила к реализации своих полномочий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только во втором полугодии отчетного года.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связи с этим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план работы КСП на 2024 год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был официально утвер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жден в отчетном периоде.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выполнении работы КСП в 2024 году учитывались: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1"/>
        </w:numPr>
        <w:pBdr/>
        <w:spacing w:after="0" w:afterAutospacing="1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Губернатора Херсонской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1"/>
        </w:numPr>
        <w:pBdr/>
        <w:spacing w:after="0" w:afterAutospacing="1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поручения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Херсонской областной Думы;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numPr>
          <w:ilvl w:val="0"/>
          <w:numId w:val="1"/>
        </w:numPr>
        <w:pBdr/>
        <w:spacing w:after="0" w:afterAutospacing="1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сроки проведени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мероприятий и объем проверяемых средств;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numPr>
          <w:ilvl w:val="0"/>
          <w:numId w:val="1"/>
        </w:numPr>
        <w:pBdr/>
        <w:spacing w:after="0" w:afterAutospacing="1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штатная численность Контрольно-счётной палаты.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Внешний государственный финансовый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онтроль осуществлялся Контрольно-счётной палатой в форме контрольных и экспертно-аналитических мероприятий.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Контрольно-счётной палатой ХО проведено 4 мероприятия, в том числе: 1 контрольное мероприятие по поручению Губернатора Херсонской области, проведенное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октябре – ноябре 2024 года, и 3 экспертно-аналитических мероприятия по поручению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Херсонской областной Думы</w:t>
      </w:r>
      <w:r>
        <w:rPr>
          <w:rFonts w:ascii="Times New Roman" w:hAnsi="Times New Roman" w:cs="Times New Roman"/>
          <w:sz w:val="28"/>
          <w:szCs w:val="28"/>
        </w:rPr>
        <w:t xml:space="preserve">, проведенных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сентябре, ноябре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декабре 2024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2. Результаты контрольных и экспертно-аналитических мероприятий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Полномочия Контрольно-счётной палаты распространяются на вопросы соблюдения субъектами бюджетной системы финансово-бюджетного законодательства, своевременности и полн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оты наполнения и использования  государственных ресурсов, эффективности и законности управления государственной собственностью и целевого использования средств областного бюджета, соблюдения правил ведения бюджетного учёта и отчётности, осуществления аудит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 сфере закупок.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проведении внешнего финансового контроля объектами аудита для КСП выступают органы государственной власти и государственных органов, органы территориальных государственных внебюджетных фондов, государственных учреждений и унитарных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предприятий Херсонской области, а также иные организации, использующие имущество, находящееся в государственной собственности Херсонской области,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получающие субсидии, кредиты или гранты за счет средств бюджета области.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2.1. Контрольные мероприятия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«Проверка законности и результативности использования государственного имущества Херсонской области, находящегося в оперативном управлении Государственного бюджетн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ого учреждения «Производственное управление мелиорации и водного хозяйства Херсонской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afterAutospacing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Исследуемый период 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2023 год и 9 месяцев 2024 года. В ходе мероприятия проведен анализ принятых решений о закреплении государственного имущества Херсонской обла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сти за учреждением, его состава и структуры, соблюдения порядка управления и распоряжения имуществом, закрепленным за учреждением, наличия государственной регистрации прав на недвижимое имущество; проверены правильность ведения бухгалтерского учета, обеспе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чения сохранности и эффективности использования закрепленного за учреждением имущества.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результатам контрольного мероприятия были выявлены нарушения и недостатки: </w:t>
      </w:r>
      <w:r>
        <w:rPr>
          <w:rFonts w:ascii="Times New Roman" w:hAnsi="Times New Roman" w:cs="Times New Roman"/>
          <w:sz w:val="28"/>
          <w:szCs w:val="28"/>
        </w:rPr>
        <w:t xml:space="preserve">в бюджетно-финансовой сфере,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том числе нарушения в ходе формирования и исполнения бюджета,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организации бухгалтерского учёта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при формировании бюдже</w:t>
      </w:r>
      <w:r>
        <w:rPr>
          <w:rFonts w:ascii="Times New Roman" w:hAnsi="Times New Roman" w:cs="Times New Roman"/>
          <w:iCs/>
          <w:sz w:val="28"/>
          <w:szCs w:val="28"/>
        </w:rPr>
        <w:t xml:space="preserve">тной отчетности, в сфере управления и распоряжения государственной собственностью Херсонской области, а также государственной регистрации прав на недвижимое имущество и сделок с ним, а именно: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22"/>
        </w:numPr>
        <w:pBdr/>
        <w:spacing w:after="0" w:afterAutospacing="1"/>
        <w:ind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ГУП «БУВР Херсонской области» в 2023 году порядка составления, утверждения и ведения бюджетной сметы в связи с отсутствием утвержденной бюджетной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меты на 2023 год (нарушение п.2 ст. 161 Бюджетного кодекса РФ, п.12 постановления Правительства РФ от 22.12.2022 № 2377 «Об особенностях составления, рассмотрения и утверждения проектов бюджетов Донецкой Народной Республики, Луганской Народной Республики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Запорожской области, Херсонской области, проектов бюджетов территориальных внебюджетных фондов и местных бюджетов, а также исполнения указанных бюджетов и формирования бюджетной отчетности на 2023 - 2025 годы», п.8 Порядка составления, утверждения и вед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ения бюджетных смет казенными учреждениями Херсонской области в 2023 году, утвержденного приказом Минфина Херсонской области от 12.01.2023 № 16-207/1);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79"/>
        <w:numPr>
          <w:ilvl w:val="0"/>
          <w:numId w:val="22"/>
        </w:numPr>
        <w:pBdr/>
        <w:spacing w:after="0" w:afterAutospacing="1"/>
        <w:ind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ненадлежащее исполнение Министерством агропромышленного комплекса и продовольственной политики Херсонско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области полномочий главного распорядителя бюджетных средств по установлению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порядка финансового обеспечения деятельности ГУП «БУВР Херсонской области» в нарушение ст.158 Бюджетного кодекса РФ;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79"/>
        <w:numPr>
          <w:ilvl w:val="0"/>
          <w:numId w:val="22"/>
        </w:numPr>
        <w:pBdr/>
        <w:spacing w:after="0" w:afterAutospacing="1"/>
        <w:ind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грубое нарушение ГУП «БУВР Херсонской области» требований 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бюджетному (бухгалтерскому) учету (требований к организации ведения бухгалтерского учета, к оформлению фактов хозяйственной жизни первичными учетными документами, к оформлению и ведению регистров бухгалтерского учета), выразившееся в отсутствии в 2023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 период с 01.01.2024 по 24.09.2024 учетной политики, главной книги, бюджетной сметы, первичных учетных документов, результатов инвентаризации, бухгалтерской (финансовой) отчетности за 2023 год (нарушение ч.2 ст.8, ч.1 ст.9, ч.1 ст.10, ч.1 ст.11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ч.1 ст.13 Федерального закона от 06.12.2011 № 402-ФЗ «О бухгалтерском учёте»);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79"/>
        <w:numPr>
          <w:ilvl w:val="0"/>
          <w:numId w:val="22"/>
        </w:numPr>
        <w:pBdr/>
        <w:spacing w:after="0" w:afterAutospacing="1"/>
        <w:ind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ГБУ «Производственное управление мелиорации и водного хозяйства Херсонской области», Министерством агропромышленного комплекса и продовольственной безопасности Хер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сонской области и Министерством имущественных и земельных отношений Херсонской области порядка закрепления и использования находящихся в государственной собственности Херсонской области административных зданий, строений, нежилых помещений и движимого имуще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ства (нарушение п.3 ст. 299 Гражданского кодекса РФ, п. 2 ст. 11 Федерального закона от 14.11.2022 № 161-ФЗ «О государственных и муниципальных унитарных предприятиях», п.5.3, п.6, п.7 Постановления Правительства Херсонской области от 02.09.2024 № 131-пп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 реорганизации Государственного унитарного предприятия «Бассейновое управление водных ресурсов Херсонской области» в форме преобразования в Государственное бюджетное учреждение «Производственное управление мелиорации и водного хозяйства Херсонской облас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ти»);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979"/>
        <w:numPr>
          <w:ilvl w:val="0"/>
          <w:numId w:val="22"/>
        </w:numPr>
        <w:pBdr/>
        <w:spacing w:after="0" w:afterAutospacing="1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ГУП «БУВР Херсонской области» порядка государственной регистрации прав на недвижимое имущество и сделок с ним, порядка ведения кадастрового учета в связи с отсутствием регистрации используемого недвижимого имущества в ЕГРН (нарушение п.1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т.131, п.2 ст.8.1 Гражданского кодекса РФ, ч.1 ст.14 Федерального закона от 13.07.2015 № 218-ФЗ «О государственной регистрации недвижимости»).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Выявленные в ходе проведения контрольного мероприятия недостатки и нарушен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ия представлены в Акте по результатам контрольного мероприятия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который подписан руководителем объекта проверки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без возражений. По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реализации контрольного мероприятия разработан План ус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транения выявленных нарушений, исполнение которого принято на контроль сотрудниками КСП.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материалы проверки направлены в правоохранительные органы Херсонской области.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2.2. Экспертно-аналитические мероприятия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Проведение финансово-экономической экспертизы проектов областных зак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онов об областном бюджете и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о бюджете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Территориального фон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да обязательного медицинского страхования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Херсонской области, в том числе: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numPr>
          <w:ilvl w:val="0"/>
          <w:numId w:val="24"/>
        </w:numPr>
        <w:pBdr/>
        <w:spacing w:after="0" w:afterAutospacing="1"/>
        <w:ind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2-х проектов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законов Херсонской области «О внесении изменений в Закон Херсонской области «О бюджете Херсонской области на 2024 год»;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Cs/>
          <w:sz w:val="28"/>
          <w:szCs w:val="28"/>
        </w:rPr>
      </w:r>
    </w:p>
    <w:p>
      <w:pPr>
        <w:pStyle w:val="979"/>
        <w:numPr>
          <w:ilvl w:val="0"/>
          <w:numId w:val="24"/>
        </w:numPr>
        <w:pBdr/>
        <w:spacing w:after="0" w:afterAutospacing="1"/>
        <w:ind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проекта Закона Херсонской области «Об областном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бюджете на 2025 год и плановый период 2026 и 2027 годов»;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</w:r>
      <w:r>
        <w:rPr>
          <w:rFonts w:ascii="Times New Roman" w:hAnsi="Times New Roman" w:cs="Times New Roman"/>
          <w:b/>
          <w:bCs/>
          <w:iCs/>
          <w:sz w:val="28"/>
          <w:szCs w:val="28"/>
        </w:rPr>
      </w:r>
    </w:p>
    <w:p>
      <w:pPr>
        <w:pStyle w:val="979"/>
        <w:numPr>
          <w:ilvl w:val="0"/>
          <w:numId w:val="24"/>
        </w:numPr>
        <w:pBdr/>
        <w:spacing w:after="0" w:afterAutospacing="1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Закона Херсонской обл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асти «О бюджете Территориального фон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да обязательного медицинского страхования Херсонской области на 2025 год».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экспертно-аналитических мероприятий является важным направлением в деятельности КСП и направленно прежде всего на предотвращение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нарушений в финансово-бюджетной сфере Херсонской области.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Во исполнение пп.10 статьи 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29.01.2024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25-ЗХО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заключения по результатам проведенных экспертиз были направлены КСП в Херсонскую областную Думу и Губернатору Херсонской области.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pBdr/>
        <w:spacing w:after="0" w:afterAutospacing="1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 Взаимодействие и сотрудничество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Привлечение Контрольно-счётной палаты в законотворческую деятельность по широкому спектру действующего законодательства способств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ует обеспечению народных депутатов всесторонней и объективной оценкой по каждому конкретному законопроекту, регулирующему бюджетный процесс Херсонской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3.1. Херсонская областная Дума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Законом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 от 29.01.2024 № 25-ЗХО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Контрольно-счетная палата является постоянно действующим органом внешнего государственного финансового контроля, подотчетным Херсонской областной Думе.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Возникающие в этой связи обязательства являются предметом особого внимания руководства Контрольно-счет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 при организации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взаимодействия с профильными комитетами и рабочими группами Херсонской областной Думы.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отчетном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оду Председатель Контрольно-счётной палаты принимал участие в заседаниях Херсонской областной Думы, Комитета по бюджету и финанса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 Херсонской областной Думы, при рассмотрении внесения изменений в бюджет Херсонской области и ТФОМС на очередной финансовый год, проекта  бюджета Херсонской области и ТФОМС на 2025 год и плановый период 2026 и 2027 года.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  <w:t xml:space="preserve">.2. Губернатор Херсонской области</w:t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white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Контрольно-счётная палата в отчетном периоде направляла все отчетные материалы проведенных контрольных и экспертно-аналитических мероприятий в адрес Губернатора Херсонской области и в рамках исполнения статьи 25 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29.01.2024 № 25-ЗХО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планирует направить отч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 о деятельности Палаты в 2024 году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01 апреля 2025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3.3.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Счетная палата РФ и контрольно-счетные органы субъектов РФ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отчетном периоде с целью обеспечения эффективного межведомственного взаимодействия, обмена профессиональным опытом и повышения качества осуществления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онтрольных мероприятий Контрольно-счетной палатой: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02.09.2024 года подписано Соглашение о сотрудничестве и взаимодействии со Счетной палатой Республики Крым.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14.11.2024 года подписано Соглашение о взаимодействии с Контрольно-счетной палатой Ростовской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12.12.2024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после встречи с Председателем Счетной палаты Борисом Юрьевичем Ковальчуком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подписано Соглашение о сотрудничестве со Счетной палатой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отчетном году должностные лица Контрольно-счётной палаты в рамках работы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принимали участие в конференциях, семинарах, «круглых столах», проходивших как в Москве в Счетной палате Российской Федерации, так и в других регионах России.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Контрольно-счётной палатой ведется подготовительная работа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заключению Соглашения о сотрудничес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 и взаимодействии с другими контрольно-счетными органами субъектов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Правоохранительные органы и силовые структуры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и сотрудничество с контрольными, надзорными и правоохранительными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позволит исключить дублирование проверочных мероприятий на одних и тех же объектах, а также расширит информационные возможности при осуществлении контрольной и экспертно-аналитической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Контрольно-счётной палатой в настоящее время ведется подго</w:t>
      </w:r>
      <w:r>
        <w:rPr>
          <w:rFonts w:ascii="Times New Roman" w:hAnsi="Times New Roman" w:cs="Times New Roman"/>
          <w:sz w:val="28"/>
          <w:szCs w:val="28"/>
        </w:rPr>
        <w:t xml:space="preserve">товительная работа с правоохранительными органами и силовыми структурами Херсонской области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заключению Согл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ашения о порядке взаимодействия и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сотрудничестве, подписание которых планируется в 2025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3.5. Соглашения с иными органами и организациями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КСП прорабатывается вопрос о заключении </w:t>
      </w:r>
      <w:r>
        <w:rPr>
          <w:rFonts w:ascii="Times New Roman" w:hAnsi="Times New Roman" w:cs="Times New Roman"/>
          <w:sz w:val="28"/>
          <w:szCs w:val="28"/>
        </w:rPr>
        <w:t xml:space="preserve">соглашений о сотрудничестве с иными органами и организациями Херсонской области и </w:t>
      </w:r>
      <w:r>
        <w:rPr>
          <w:rFonts w:ascii="Times New Roman" w:hAnsi="Times New Roman" w:cs="Times New Roman"/>
          <w:sz w:val="28"/>
          <w:szCs w:val="28"/>
        </w:rPr>
        <w:t xml:space="preserve">других регионов.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4. Методологическая деятельность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специалистами Контрольно-счетной палаты б</w:t>
      </w:r>
      <w:r>
        <w:rPr>
          <w:rFonts w:ascii="Times New Roman" w:hAnsi="Times New Roman" w:cs="Times New Roman"/>
          <w:sz w:val="28"/>
          <w:szCs w:val="28"/>
        </w:rPr>
        <w:t xml:space="preserve">ыли разработаны, приняты и введены в действие порядка 90 нормативно-правовых актов КСП (далее – НПА КСП), подготовлены проекты 14 Стандартов, </w:t>
      </w:r>
      <w:r>
        <w:rPr>
          <w:rFonts w:ascii="Times New Roman" w:hAnsi="Times New Roman" w:cs="Times New Roman"/>
          <w:sz w:val="28"/>
          <w:szCs w:val="28"/>
        </w:rPr>
        <w:t xml:space="preserve">рассмотрены Коллегией Контрольно-счётной палаты 9 НПА КСП (Регламент и первоочередные Стандарты), </w:t>
      </w:r>
      <w:r>
        <w:rPr>
          <w:rFonts w:ascii="Times New Roman" w:hAnsi="Times New Roman" w:cs="Times New Roman"/>
          <w:sz w:val="28"/>
          <w:szCs w:val="28"/>
        </w:rPr>
        <w:t xml:space="preserve">проведена юридическая экспертиза более 90 Н</w:t>
      </w:r>
      <w:r>
        <w:rPr>
          <w:rFonts w:ascii="Times New Roman" w:hAnsi="Times New Roman" w:cs="Times New Roman"/>
          <w:sz w:val="28"/>
          <w:szCs w:val="28"/>
        </w:rPr>
        <w:t xml:space="preserve">ПА КСП.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Создана электронная База КСП, которая на 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 наполняется методическими и аналитическими материалами контрольно-счетных органов субъектов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afterAutospacing="1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5. Обеспечение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5.1.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Финансовое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и материально-техническое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обеспечение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и материально-техническое обеспечение является необходимым условием организационной и функциональной независимости контрольно-счетного органа, что соответствует требованиям Закона РФ № 6-ФЗ.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27.11.2024 в Единой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закупок был размещен План-график закупок товаров, работ, услуг на 2024 финансовый год и на плановый период 2025 и 2026 годов, в который были внесены изменения от 28.12.2024. В отчетном периоде заключено 5 государственных контрактов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общую сумму 998 200,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 рублей. Основные расходы были связаны с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приобретением компьютерной техники, оргтехники, полиграфических услуг, канцелярских товаров и расходных материалов.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План-график закупок товаров, работ, услуг на 2025 финансовый год и 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2026 и 2027 годов.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лиц, замещающих в Счетной палате государственные должности и должности государственной гражданской службы Херсонской области, осуществлялась в соответствии с требованиями федерального и областного законодательства.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5.2. Кад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ровое обеспечение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Штатная численность Контрольно-счётной палаты – 49 единиц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 которых 5 штатных единиц – государственные должности Херсонской области, 7 штатных единиц – должности государственной гражданской службы Херсонской области. Остальные 37 – дол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жности, не отнесенные к должностям государственной гражданской службы Херсонской области,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что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существенно затрудняет реализацию Контрольно-счётной палатой возложенных на неё функций.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Фактическая численность КСП на 01.01.2025 – 13 человек, из которых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Председатель – назначен Херсонской областной Думой 12.07.2024;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Аудитор №1 – назначена Херсонской областной Думы 23.08.2024;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Заместитель председателя – назначен Херсонской областной Думой 29.10.2024;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Аудитор №2 – назначена Херсонской областной Думой 29.10.2024;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Главный бухгалтер-начальник отдела финансово-хозяйственног</w:t>
      </w:r>
      <w:r>
        <w:rPr>
          <w:rFonts w:ascii="Times New Roman" w:hAnsi="Times New Roman" w:eastAsia="Times New Roman" w:cs="Times New Roman"/>
          <w:spacing w:val="-3"/>
        </w:rPr>
        <w:t xml:space="preserve">о обеспечения – принята на работу 26.08.2024;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Заместитель начальника отдела государственной службы, кадровой работы и противодействия коррупции – принята на работу 26.08.2024;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Руководитель аппарата – принят на работу 28.08.2024;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Заместитель руководителя ап</w:t>
      </w:r>
      <w:r>
        <w:rPr>
          <w:rFonts w:ascii="Times New Roman" w:hAnsi="Times New Roman" w:eastAsia="Times New Roman" w:cs="Times New Roman"/>
          <w:spacing w:val="-3"/>
        </w:rPr>
        <w:t xml:space="preserve">парата – принят на работу 03.09.2024;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Начальник инспекции №1 – принята на работу 10.09.2024;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Заместитель начальника инспекции организационно-правового сопровождения контрольной деятельности и закупок – </w:t>
      </w:r>
      <w:r>
        <w:rPr>
          <w:rFonts w:ascii="Times New Roman" w:hAnsi="Times New Roman" w:eastAsia="Times New Roman" w:cs="Times New Roman"/>
          <w:spacing w:val="-3"/>
        </w:rPr>
        <w:t xml:space="preserve">01.10.2024;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Начальник инспекции информационной безопа</w:t>
      </w:r>
      <w:r>
        <w:rPr>
          <w:rFonts w:ascii="Times New Roman" w:hAnsi="Times New Roman" w:eastAsia="Times New Roman" w:cs="Times New Roman"/>
          <w:spacing w:val="-3"/>
        </w:rPr>
        <w:t xml:space="preserve">сности, сводно-</w:t>
      </w:r>
      <w:r>
        <w:rPr>
          <w:rFonts w:ascii="Times New Roman" w:hAnsi="Times New Roman" w:eastAsia="Times New Roman" w:cs="Times New Roman"/>
          <w:spacing w:val="-3"/>
        </w:rPr>
        <w:t xml:space="preserve">аналитической деятельности и системного анализа, контроля и учета результатов деятельности КСП – принята на работу 15.11.2024.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момент составления Отчета на согласовании находится кандидатура    аудитора №3.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составе аппарата Контрольно-счётной палаты в 2024 году работало 8 самостоятельных структурных подразделений, в том числе 5 инспекций, 3 отдела.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Кадровая работа в Контрольно-счётной палате в отчётном периоде проводилась в соответствии с федеральным и областным зако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нодательством о государственной гражданской службе.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государственные гражданские служащие, замещающие должности в Контрольно-счётной палате, имеют высшее образование и значительный стаж работы, в том числе: высшее экономическое образование имеют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век, юридическое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человека, государственное и муниципальное управление – 1 человек, техническое – 4 человека. Два и более высших образований имеют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Сотрудники КСП зарегистрированы и проходят обучение на Образовательном портале Счетной палаты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Ф.  КСП принимает активное участие в различных видеоконференциях и семинарах, в том числе проводимых КСО с целью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оказанию консультационной помощи контрольно-счетным органам Донецкой Народной Республики, Луганской Народной Республики, Запорожской и Херсонс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кой областей.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КСП организована работа по охране труда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пожарной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безопасности и технике безопасности, работа с персональными данными и профилактике коррупции.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afterAutospacing="1"/>
        <w:ind w:firstLine="708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5.3. Информационное обеспечение деятельности 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процессе 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Контрольно-счётной палаты в рамках информационного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работа по изучению опыта других КСО по использованию в их деятельности информационных систем, необходимых для выполнения работниками КСО своих полномочий, результато</w:t>
      </w:r>
      <w:r>
        <w:rPr>
          <w:rFonts w:ascii="Times New Roman" w:hAnsi="Times New Roman" w:cs="Times New Roman"/>
          <w:sz w:val="28"/>
          <w:szCs w:val="28"/>
        </w:rPr>
        <w:t xml:space="preserve">в автоматизации отдельных направлений деятельности КСО или процессов.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информационной безопасности, необходимой для получения доступа к государственным и муниципальным информационным ресурсам  и соблюдения требований Федерального закона от 27.07.2006           № 149-ФЗ «Об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ных технологиях и защите информации» КСП координирует свою работу с Министерством цифрового развития и массовых коммуникаций Херсонской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отчётном периоде работники КСП получили доступ для использования возможностей Портала Счетной палаты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и контрольно-счетных органов Российской Федерации в сети Интернет (далее – Портал), который имеет особое значение с точки зрения распространения информации о внешнем государственном финансовом контроле.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Созданный для повышения эффективности ос</w:t>
      </w:r>
      <w:r>
        <w:rPr>
          <w:rFonts w:ascii="Times New Roman" w:hAnsi="Times New Roman" w:cs="Times New Roman"/>
          <w:sz w:val="28"/>
          <w:szCs w:val="28"/>
        </w:rPr>
        <w:t xml:space="preserve">уществления внешнего государственного финансового аудита Портал является единым источником информации о деятельности контрольно-счетных органов всех субъектов Российской Федерации, Совета контрольно-счетных органов при Счетной палате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Союза муниципальных контрольно-счетных органов. </w:t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708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возможностей Портала является для Счетной палаты одним из направлений повышения прозрачности государственного финансового аудита. Посредством ресурсов Портала сотрудники КСП принимали участ</w:t>
      </w:r>
      <w:r>
        <w:rPr>
          <w:rFonts w:ascii="Times New Roman" w:hAnsi="Times New Roman" w:cs="Times New Roman"/>
          <w:sz w:val="28"/>
          <w:szCs w:val="28"/>
        </w:rPr>
        <w:t xml:space="preserve">ие в видеоконференциях.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для реализации своих полномочий при осуществлении внешнего государственного финансового контроля Контрольно-счетной палатой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</w:t>
      </w:r>
      <w:r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 xml:space="preserve"> к данным ГИС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6. План работы контрольно-счетной палаты на 2025 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12 Федерального закона № 6-ФЗ «Об общих принципах организации и деятельности контрольно-счетных органов субъектов Российской Федерации и муниципальных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разований» и статьей 12 Закона Херсонской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Контрольно-счетной палате» № 25-ЗХО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Контрольно-счётная палата осуществляет свою деятельность на основе планов.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18.12.2024 года в адрес Председателя Херсонской Думы Томилиной Т.Ю. был направлен План раб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оты КСП ХО на 2025 год, который был предварительно рассмотрен коллегий КСП и утвержден Председателем КСП.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вержденным Планом приоритетное направление деятельности Контрольно-счетной палаты, это проведение контрольных и экспертно-аналитических мероприятий. В 2025 году КСП планирует провести: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6"/>
        </w:numPr>
        <w:pBdr/>
        <w:spacing w:after="0" w:afterAutospacing="1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 контрольных мероприятия;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6"/>
        </w:numPr>
        <w:pBdr/>
        <w:spacing w:after="0" w:afterAutospacing="1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 экспертно-аналитических мероприятия.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 работы КСП ХО на 2025 год сформирован с учетом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поручений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депутатов Херсонской областной Думы,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Губернатора Херсонской области. Запланированы мероприятия по проверке использования бюджетных ресурсов на здравоохранение, образование, культуру, благоустрой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ство, и т.д.,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включая: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pacing w:val="-3"/>
        </w:rPr>
        <w:t xml:space="preserve">Проверку законности и эффективности использования</w:t>
      </w:r>
      <w:r>
        <w:rPr>
          <w:rFonts w:ascii="Times New Roman" w:hAnsi="Times New Roman" w:eastAsia="Times New Roman" w:cs="Times New Roman"/>
        </w:rPr>
        <w:t xml:space="preserve"> средств областного бюджета Унитарной некоммерческой организации «Фонд развития промышленности Херсонской области» за период 2023-2024 годов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pacing w:val="-3"/>
          <w:shd w:val="clear" w:color="auto" w:fill="ffffff"/>
        </w:rPr>
        <w:t xml:space="preserve">Проверку законности и эффективности использования</w:t>
      </w:r>
      <w:r>
        <w:rPr>
          <w:rFonts w:ascii="Times New Roman" w:hAnsi="Times New Roman" w:eastAsia="Times New Roman" w:cs="Times New Roman"/>
          <w:shd w:val="clear" w:color="auto" w:fill="ffffff"/>
        </w:rPr>
        <w:t xml:space="preserve"> средств областного бюджета </w:t>
      </w:r>
      <w:r>
        <w:rPr>
          <w:rFonts w:ascii="Times New Roman" w:hAnsi="Times New Roman" w:eastAsia="Times New Roman" w:cs="Times New Roman"/>
          <w:color w:val="0e0e0e"/>
        </w:rPr>
        <w:t xml:space="preserve">Министерством </w:t>
      </w:r>
      <w:r>
        <w:rPr>
          <w:rFonts w:ascii="Times New Roman" w:hAnsi="Times New Roman" w:eastAsia="Times New Roman" w:cs="Times New Roman"/>
          <w:color w:val="111111"/>
        </w:rPr>
        <w:t xml:space="preserve">образования Херсонской </w:t>
      </w:r>
      <w:r>
        <w:rPr>
          <w:rFonts w:ascii="Times New Roman" w:hAnsi="Times New Roman" w:eastAsia="Times New Roman" w:cs="Times New Roman"/>
          <w:color w:val="0f0f0f"/>
        </w:rPr>
        <w:t xml:space="preserve">области </w:t>
      </w:r>
      <w:r>
        <w:rPr>
          <w:rFonts w:ascii="Times New Roman" w:hAnsi="Times New Roman" w:eastAsia="Times New Roman" w:cs="Times New Roman"/>
        </w:rPr>
        <w:t xml:space="preserve">за период 2023-2024 годов;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pacing w:val="-3"/>
          <w:shd w:val="clear" w:color="auto" w:fill="ffffff"/>
        </w:rPr>
        <w:t xml:space="preserve">Проверку законности и эффективности использования</w:t>
      </w:r>
      <w:r>
        <w:rPr>
          <w:rFonts w:ascii="Times New Roman" w:hAnsi="Times New Roman" w:eastAsia="Times New Roman" w:cs="Times New Roman"/>
          <w:shd w:val="clear" w:color="auto" w:fill="ffffff"/>
        </w:rPr>
        <w:t xml:space="preserve"> средств областного бюджета </w:t>
      </w:r>
      <w:r>
        <w:rPr>
          <w:rFonts w:ascii="Times New Roman" w:hAnsi="Times New Roman" w:eastAsia="Times New Roman" w:cs="Times New Roman"/>
          <w:color w:val="0e0e0e"/>
        </w:rPr>
        <w:t xml:space="preserve">Министерством </w:t>
      </w:r>
      <w:r>
        <w:rPr>
          <w:rFonts w:ascii="Times New Roman" w:hAnsi="Times New Roman" w:eastAsia="Times New Roman" w:cs="Times New Roman"/>
          <w:color w:val="111111"/>
        </w:rPr>
        <w:t xml:space="preserve">труда и социальной защиты Херсонской </w:t>
      </w:r>
      <w:r>
        <w:rPr>
          <w:rFonts w:ascii="Times New Roman" w:hAnsi="Times New Roman" w:eastAsia="Times New Roman" w:cs="Times New Roman"/>
          <w:color w:val="0f0f0f"/>
        </w:rPr>
        <w:t xml:space="preserve">области </w:t>
      </w:r>
      <w:r>
        <w:rPr>
          <w:rFonts w:ascii="Times New Roman" w:hAnsi="Times New Roman" w:eastAsia="Times New Roman" w:cs="Times New Roman"/>
        </w:rPr>
        <w:t xml:space="preserve">за период 2023-2024 годов;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  <w:shd w:val="clear" w:color="auto" w:fill="ffffff"/>
        </w:rPr>
        <w:t xml:space="preserve">Проверку законного и эффективного использования бюджетных средств Военно-гражданской администрацией г. Херсон;</w:t>
      </w:r>
      <w:r>
        <w:rPr>
          <w:rFonts w:ascii="Times New Roman" w:hAnsi="Times New Roman" w:cs="Times New Roman"/>
          <w:spacing w:val="-3"/>
        </w:rPr>
      </w:r>
      <w:r>
        <w:rPr>
          <w:rFonts w:ascii="Times New Roman" w:hAnsi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  <w:shd w:val="clear" w:color="auto" w:fill="ffffff"/>
        </w:rPr>
        <w:t xml:space="preserve">Проверку соблюдения Министерством природных ресурсов, экологии и рыболовс</w:t>
      </w:r>
      <w:r>
        <w:rPr>
          <w:rFonts w:ascii="Times New Roman" w:hAnsi="Times New Roman" w:eastAsia="Times New Roman" w:cs="Times New Roman"/>
          <w:spacing w:val="-3"/>
          <w:shd w:val="clear" w:color="auto" w:fill="ffffff"/>
        </w:rPr>
        <w:t xml:space="preserve">тва Херсонской области нормативно-правовых актов о порядке обращения с отходами производства и потребления, медицинскими отходами и отходами ТКО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cs="Times New Roman"/>
          <w:spacing w:val="-3"/>
        </w:rPr>
      </w:r>
      <w:r>
        <w:rPr>
          <w:rFonts w:ascii="Times New Roman" w:hAnsi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eastAsia="Times New Roman" w:cs="Times New Roman"/>
          <w:spacing w:val="-3"/>
        </w:rPr>
      </w:pPr>
      <w:r>
        <w:rPr>
          <w:rFonts w:ascii="Times New Roman" w:hAnsi="Times New Roman" w:eastAsia="Times New Roman" w:cs="Times New Roman"/>
          <w:shd w:val="clear" w:color="auto" w:fill="ffffff"/>
        </w:rPr>
        <w:t xml:space="preserve">Экспертизу проектов областных законов и иных нормативных правовых актов органов государственной власти Херсонс</w:t>
      </w:r>
      <w:r>
        <w:rPr>
          <w:rFonts w:ascii="Times New Roman" w:hAnsi="Times New Roman" w:eastAsia="Times New Roman" w:cs="Times New Roman"/>
          <w:shd w:val="clear" w:color="auto" w:fill="ffffff"/>
        </w:rPr>
        <w:t xml:space="preserve">кой области в части, касающейся расходных обязательств Херсонской области, приводящих к изменению доходов областного бюджета и бюджета Территориального фонда обязательного медицинского страхования, а также проектов государственных программ Херсонской облас</w:t>
      </w:r>
      <w:r>
        <w:rPr>
          <w:rFonts w:ascii="Times New Roman" w:hAnsi="Times New Roman" w:eastAsia="Times New Roman" w:cs="Times New Roman"/>
          <w:shd w:val="clear" w:color="auto" w:fill="ffffff"/>
        </w:rPr>
        <w:t xml:space="preserve">ти</w:t>
      </w:r>
      <w:r>
        <w:rPr>
          <w:rFonts w:ascii="Times New Roman" w:hAnsi="Times New Roman" w:eastAsia="Times New Roman" w:cs="Times New Roman"/>
          <w:spacing w:val="-3"/>
        </w:rPr>
        <w:t xml:space="preserve">;</w:t>
      </w:r>
      <w:r>
        <w:rPr>
          <w:rFonts w:ascii="Times New Roman" w:hAnsi="Times New Roman" w:eastAsia="Times New Roman" w:cs="Times New Roman"/>
          <w:spacing w:val="-3"/>
        </w:rPr>
      </w:r>
      <w:r>
        <w:rPr>
          <w:rFonts w:ascii="Times New Roman" w:hAnsi="Times New Roman" w:eastAsia="Times New Roman" w:cs="Times New Roman"/>
          <w:spacing w:val="-3"/>
        </w:rPr>
      </w:r>
    </w:p>
    <w:p>
      <w:pPr>
        <w:pStyle w:val="980"/>
        <w:numPr>
          <w:ilvl w:val="0"/>
          <w:numId w:val="9"/>
        </w:numPr>
        <w:pBdr/>
        <w:spacing w:afterAutospacing="1" w:line="276" w:lineRule="auto"/>
        <w:ind w:right="57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eastAsia="Times New Roman" w:cs="Times New Roman"/>
          <w:spacing w:val="-3"/>
        </w:rPr>
        <w:t xml:space="preserve">и другие.</w:t>
      </w:r>
      <w:r>
        <w:rPr>
          <w:rFonts w:ascii="Times New Roman" w:hAnsi="Times New Roman" w:cs="Times New Roman"/>
          <w:spacing w:val="-3"/>
        </w:rPr>
      </w:r>
      <w:r>
        <w:rPr>
          <w:rFonts w:ascii="Times New Roman" w:hAnsi="Times New Roman" w:cs="Times New Roman"/>
          <w:spacing w:val="-3"/>
        </w:rPr>
      </w:r>
    </w:p>
    <w:p>
      <w:pPr>
        <w:pBdr/>
        <w:spacing w:after="0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Особое внимание в деятельности Контрольно-счетной палаты в 2025 году будет также уделено: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7"/>
        </w:numPr>
        <w:pBdr/>
        <w:spacing w:after="0" w:afterAutospacing="1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дальнейшей стандартизации деятельности КСП, продолжению методологической работы и актуализации локальных актов КСП;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7"/>
        </w:numPr>
        <w:pBdr/>
        <w:spacing w:after="0" w:afterAutospacing="1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применению методических рекомендаци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по осуществлению полномочий в сфере противодействия коррупции;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7"/>
        </w:numPr>
        <w:pBdr/>
        <w:spacing w:after="0" w:afterAutospacing="1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взаимодействию со Счетной палатой Российской Федерации по вопросам практической деятельности;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7"/>
        </w:numPr>
        <w:pBdr/>
        <w:spacing w:after="0" w:afterAutospacing="1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проработке запросов Счетной палаты РФ, Херсонской областной Думы и Губернатора Херсонской области, граждан и т.д.;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7"/>
        </w:numPr>
        <w:pBdr/>
        <w:spacing w:after="0" w:afterAutospacing="1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 работы по взаимодействию с правоохранительными и контролирующими органами региона;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numPr>
          <w:ilvl w:val="0"/>
          <w:numId w:val="7"/>
        </w:numPr>
        <w:pBdr/>
        <w:spacing w:after="0" w:afterAutospacing="1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участию в обучающих семинарах, повышению проф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ессионального уровня и квалификации, а также правовому образованию сотрудников Контрольно-счетной палаты.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2025 год запланированы мероприятия по организации и прохождению обучения ответственных лиц КСП «Охране труда и контролю за соблюдением законодатель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 об охране труда», «Мерам пожарной безопасности», получение соответствующих документов.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 исполнение статьи 4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 Херсонской области от 29.01.2024         № 25-ЗХО «О Контрольно-счётной палате»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2025 год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апланировано создание, актуализация и наполнение официального сайта Контрольно-счетной палаты Херсонской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afterAutospacing="1"/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7. Задачи и направления деятельности на перспект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иву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тем, что в Херсонской области введен режим специальной экономической зоны, и действует обширная программа социально-экономического развития области на 2023-2025 годы с целевыми показателями до 2030 года, на развитие региона федеральные власти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выделяют значительное финансирование.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условиях необходимости ускорения процесса интеграции региона Херсонской области в национальное пространство Российской Федерации, завершения перехода в правовое пространство России, полного восстановления инфраструк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туры  региона и его дальнейшего экономического развития, а также продолжающегося санкционного давления, основной задачей Палаты в 2025 году остается контроль соблюдения принципов законности, эффективности и результативности использования государственных 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сурсов Херсонской области на всех уровнях и этапах бюджетного процесса, применения современных подходов к управлению ими.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Укрепление профессионального взаимодействия с Херсонской областной Думой, Министерством финансов и другими финансовыми, а также право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охранительными и контролирующими органами региона является основным фактором, позволяющим наиболее полно и оперативно реализовать имеющийся потенциал финансового контроля, являющегося основой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укрепления финансовой дисциплины.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сфере контроля также будут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находиться вопросы реализации национальных проектов,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государственных программ,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финансирования дорожно-транспортной отрасли, исполнения местных бюджетов.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Масштабные планы руководства Херсонской области по модернизации практически всех сфер деятельности рег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иона, значительное расширение его участия в реализации инвестиционных и инфраструктурных проектов требуют дальнейшего совершенствования правового регулирования деятельности Контрольно-счётной палаты.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этим, деятельность Палаты наряд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с классическими формами контроля будет сосредоточена на актуализации и совершенствовании стандартов внешнего государственного финансового контроля, на применении в своей деятельности элементов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аудита эффективности и стратегического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аудита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использованием современных программных продуктов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которые уже успешно применяются в практике КСО других регионов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pBdr/>
        <w:spacing w:after="119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КСП планирует в рамках каждого запланированного мероприятия применить комплексный подход, позволяющий составить целостную картину деятельности государственных органов в различных сферах.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Запланирована организация работы по профессиональному развитию сотру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дников, аттестации и присвоению классных чинов государственным гражданским служащим, а также проведение отбора на замещение вакантных должностей и формированию кадрового резерва, работа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кадровым резервом Контрольно-счётной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палаты Херсонской области.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Важными останутся и воп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росы методологического и информационного обеспечения, актуализация, разработка и адаптация стандартов финансового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контроля, постоянное профессиональное развитие сотрудников Контрольно-счётной палаты,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 в пределах полномочий в мероприятиях, направленн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ых на противодействие коррупции,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повышение прозрачности деятельности Контрольно-счётной палаты в части размещения в открытом доступе на сайте  Палаты, в социальных сетях информации о своей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afterAutospacing="1"/>
        <w:ind w:firstLine="850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ятельность Контрольно-счётной палаты нацелена на содействие успешной реализации приоритетных задач, стоящих перед Херсонской областью в 2025 году, во взаимодействии с государственными органам и всеми участниками бюджетного процесса.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pBdr/>
        <w:spacing w:after="0" w:afterAutospacing="1"/>
        <w:ind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850" w:bottom="964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</w:rPr>
      <w:fldChar w:fldCharType="begin"/>
    </w:r>
    <w:r>
      <w:rPr>
        <w:rFonts w:ascii="Times New Roman" w:hAnsi="Times New Roman" w:eastAsia="Times New Roman" w:cs="Times New Roman"/>
      </w:rPr>
      <w:instrText xml:space="preserve">PAGE \* MERGEFORMAT</w:instrText>
    </w:r>
    <w:r>
      <w:rPr>
        <w:rFonts w:ascii="Times New Roman" w:hAnsi="Times New Roman" w:eastAsia="Times New Roman" w:cs="Times New Roman"/>
      </w:rPr>
      <w:fldChar w:fldCharType="separate"/>
    </w:r>
    <w:r>
      <w:rPr>
        <w:rFonts w:ascii="Times New Roman" w:hAnsi="Times New Roman" w:eastAsia="Times New Roman" w:cs="Times New Roman"/>
      </w:rPr>
      <w:t xml:space="preserve">1</w:t>
    </w:r>
    <w:r>
      <w:rPr>
        <w:rFonts w:ascii="Times New Roman" w:hAnsi="Times New Roman" w:eastAsia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95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4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12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10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2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4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6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8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0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2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4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63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5"/>
  </w:num>
  <w:num w:numId="5">
    <w:abstractNumId w:val="20"/>
  </w:num>
  <w:num w:numId="6">
    <w:abstractNumId w:val="4"/>
  </w:num>
  <w:num w:numId="7">
    <w:abstractNumId w:val="17"/>
  </w:num>
  <w:num w:numId="8">
    <w:abstractNumId w:val="13"/>
  </w:num>
  <w:num w:numId="9">
    <w:abstractNumId w:val="10"/>
  </w:num>
  <w:num w:numId="10">
    <w:abstractNumId w:val="9"/>
  </w:num>
  <w:num w:numId="11">
    <w:abstractNumId w:val="25"/>
  </w:num>
  <w:num w:numId="12">
    <w:abstractNumId w:val="27"/>
  </w:num>
  <w:num w:numId="13">
    <w:abstractNumId w:val="12"/>
  </w:num>
  <w:num w:numId="14">
    <w:abstractNumId w:val="23"/>
  </w:num>
  <w:num w:numId="15">
    <w:abstractNumId w:val="24"/>
  </w:num>
  <w:num w:numId="16">
    <w:abstractNumId w:val="8"/>
  </w:num>
  <w:num w:numId="17">
    <w:abstractNumId w:val="1"/>
  </w:num>
  <w:num w:numId="18">
    <w:abstractNumId w:val="15"/>
  </w:num>
  <w:num w:numId="19">
    <w:abstractNumId w:val="18"/>
  </w:num>
  <w:num w:numId="20">
    <w:abstractNumId w:val="0"/>
  </w:num>
  <w:num w:numId="21">
    <w:abstractNumId w:val="11"/>
  </w:num>
  <w:num w:numId="22">
    <w:abstractNumId w:val="6"/>
  </w:num>
  <w:num w:numId="23">
    <w:abstractNumId w:val="19"/>
  </w:num>
  <w:num w:numId="24">
    <w:abstractNumId w:val="21"/>
  </w:num>
  <w:num w:numId="25">
    <w:abstractNumId w:val="7"/>
  </w:num>
  <w:num w:numId="26">
    <w:abstractNumId w:val="28"/>
  </w:num>
  <w:num w:numId="27">
    <w:abstractNumId w:val="22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4">
    <w:name w:val="Heading 1 Char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75">
    <w:name w:val="Heading 2 Char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6">
    <w:name w:val="Heading 3 Char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7">
    <w:name w:val="Heading 4 Char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8">
    <w:name w:val="Heading 5 Char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9">
    <w:name w:val="Heading 6 Char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0">
    <w:name w:val="Heading 7 Char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1">
    <w:name w:val="Heading 8 Char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2">
    <w:name w:val="Heading 9 Char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3">
    <w:name w:val="Title Char"/>
    <w:basedOn w:val="801"/>
    <w:link w:val="9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4">
    <w:name w:val="Subtitle Char"/>
    <w:basedOn w:val="801"/>
    <w:link w:val="9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5">
    <w:name w:val="Quote Char"/>
    <w:basedOn w:val="801"/>
    <w:link w:val="94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6">
    <w:name w:val="Intense Quote Char"/>
    <w:basedOn w:val="801"/>
    <w:link w:val="94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87">
    <w:name w:val="Header Char"/>
    <w:basedOn w:val="801"/>
    <w:link w:val="954"/>
    <w:uiPriority w:val="99"/>
    <w:pPr>
      <w:pBdr/>
      <w:spacing/>
      <w:ind/>
    </w:pPr>
  </w:style>
  <w:style w:type="character" w:styleId="788">
    <w:name w:val="Footer Char"/>
    <w:basedOn w:val="801"/>
    <w:link w:val="956"/>
    <w:uiPriority w:val="99"/>
    <w:pPr>
      <w:pBdr/>
      <w:spacing/>
      <w:ind/>
    </w:pPr>
  </w:style>
  <w:style w:type="character" w:styleId="789">
    <w:name w:val="Footnote Text Char"/>
    <w:basedOn w:val="801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790">
    <w:name w:val="Endnote Text Char"/>
    <w:basedOn w:val="801"/>
    <w:link w:val="962"/>
    <w:uiPriority w:val="99"/>
    <w:semiHidden/>
    <w:pPr>
      <w:pBdr/>
      <w:spacing/>
      <w:ind/>
    </w:pPr>
    <w:rPr>
      <w:sz w:val="20"/>
      <w:szCs w:val="20"/>
    </w:rPr>
  </w:style>
  <w:style w:type="paragraph" w:styleId="791" w:default="1">
    <w:name w:val="Normal"/>
    <w:qFormat/>
    <w:pPr>
      <w:pBdr/>
      <w:spacing/>
      <w:ind/>
    </w:pPr>
  </w:style>
  <w:style w:type="paragraph" w:styleId="792">
    <w:name w:val="Heading 1"/>
    <w:basedOn w:val="791"/>
    <w:next w:val="791"/>
    <w:link w:val="93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93">
    <w:name w:val="Heading 2"/>
    <w:basedOn w:val="791"/>
    <w:next w:val="791"/>
    <w:link w:val="93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94">
    <w:name w:val="Heading 3"/>
    <w:basedOn w:val="791"/>
    <w:next w:val="791"/>
    <w:link w:val="93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95">
    <w:name w:val="Heading 4"/>
    <w:basedOn w:val="791"/>
    <w:next w:val="791"/>
    <w:link w:val="93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96">
    <w:name w:val="Heading 5"/>
    <w:basedOn w:val="791"/>
    <w:next w:val="791"/>
    <w:link w:val="93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97">
    <w:name w:val="Heading 6"/>
    <w:basedOn w:val="791"/>
    <w:next w:val="791"/>
    <w:link w:val="93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791"/>
    <w:next w:val="791"/>
    <w:link w:val="93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791"/>
    <w:next w:val="791"/>
    <w:link w:val="93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791"/>
    <w:next w:val="791"/>
    <w:link w:val="93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table" w:styleId="8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table" w:styleId="804">
    <w:name w:val="Table Grid"/>
    <w:basedOn w:val="80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basedOn w:val="80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basedOn w:val="80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basedOn w:val="80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basedOn w:val="80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80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basedOn w:val="80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 w:customStyle="1">
    <w:name w:val="Заголовок 1 Знак"/>
    <w:basedOn w:val="801"/>
    <w:link w:val="79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1" w:customStyle="1">
    <w:name w:val="Заголовок 2 Знак"/>
    <w:basedOn w:val="801"/>
    <w:link w:val="79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2" w:customStyle="1">
    <w:name w:val="Заголовок 3 Знак"/>
    <w:basedOn w:val="801"/>
    <w:link w:val="79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3" w:customStyle="1">
    <w:name w:val="Заголовок 4 Знак"/>
    <w:basedOn w:val="801"/>
    <w:link w:val="79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4" w:customStyle="1">
    <w:name w:val="Заголовок 5 Знак"/>
    <w:basedOn w:val="801"/>
    <w:link w:val="79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5" w:customStyle="1">
    <w:name w:val="Заголовок 6 Знак"/>
    <w:basedOn w:val="801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6" w:customStyle="1">
    <w:name w:val="Заголовок 7 Знак"/>
    <w:basedOn w:val="801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7" w:customStyle="1">
    <w:name w:val="Заголовок 8 Знак"/>
    <w:basedOn w:val="801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8" w:customStyle="1">
    <w:name w:val="Заголовок 9 Знак"/>
    <w:basedOn w:val="80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9">
    <w:name w:val="Title"/>
    <w:basedOn w:val="791"/>
    <w:next w:val="791"/>
    <w:link w:val="94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0" w:customStyle="1">
    <w:name w:val="Заголовок Знак"/>
    <w:basedOn w:val="801"/>
    <w:link w:val="9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1">
    <w:name w:val="Subtitle"/>
    <w:basedOn w:val="791"/>
    <w:next w:val="791"/>
    <w:link w:val="94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2" w:customStyle="1">
    <w:name w:val="Подзаголовок Знак"/>
    <w:basedOn w:val="801"/>
    <w:link w:val="9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3">
    <w:name w:val="Quote"/>
    <w:basedOn w:val="791"/>
    <w:next w:val="791"/>
    <w:link w:val="94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4" w:customStyle="1">
    <w:name w:val="Цитата 2 Знак"/>
    <w:basedOn w:val="801"/>
    <w:link w:val="94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5">
    <w:name w:val="Intense Emphasis"/>
    <w:basedOn w:val="80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6">
    <w:name w:val="Intense Quote"/>
    <w:basedOn w:val="791"/>
    <w:next w:val="791"/>
    <w:link w:val="94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7" w:customStyle="1">
    <w:name w:val="Выделенная цитата Знак"/>
    <w:basedOn w:val="801"/>
    <w:link w:val="94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8">
    <w:name w:val="Intense Reference"/>
    <w:basedOn w:val="80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49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0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951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952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3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4">
    <w:name w:val="Header"/>
    <w:basedOn w:val="791"/>
    <w:link w:val="9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5" w:customStyle="1">
    <w:name w:val="Верхний колонтитул Знак"/>
    <w:basedOn w:val="801"/>
    <w:link w:val="954"/>
    <w:uiPriority w:val="99"/>
    <w:pPr>
      <w:pBdr/>
      <w:spacing/>
      <w:ind/>
    </w:pPr>
  </w:style>
  <w:style w:type="paragraph" w:styleId="956">
    <w:name w:val="Footer"/>
    <w:basedOn w:val="791"/>
    <w:link w:val="95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7" w:customStyle="1">
    <w:name w:val="Нижний колонтитул Знак"/>
    <w:basedOn w:val="801"/>
    <w:link w:val="956"/>
    <w:uiPriority w:val="99"/>
    <w:pPr>
      <w:pBdr/>
      <w:spacing/>
      <w:ind/>
    </w:pPr>
  </w:style>
  <w:style w:type="paragraph" w:styleId="958">
    <w:name w:val="Caption"/>
    <w:basedOn w:val="791"/>
    <w:next w:val="791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59">
    <w:name w:val="footnote text"/>
    <w:basedOn w:val="791"/>
    <w:link w:val="9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0" w:customStyle="1">
    <w:name w:val="Текст сноски Знак"/>
    <w:basedOn w:val="801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961">
    <w:name w:val="foot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endnote text"/>
    <w:basedOn w:val="791"/>
    <w:link w:val="9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3" w:customStyle="1">
    <w:name w:val="Текст концевой сноски Знак"/>
    <w:basedOn w:val="801"/>
    <w:link w:val="962"/>
    <w:uiPriority w:val="99"/>
    <w:semiHidden/>
    <w:pPr>
      <w:pBdr/>
      <w:spacing/>
      <w:ind/>
    </w:pPr>
    <w:rPr>
      <w:sz w:val="20"/>
      <w:szCs w:val="20"/>
    </w:rPr>
  </w:style>
  <w:style w:type="character" w:styleId="964">
    <w:name w:val="endnote reference"/>
    <w:basedOn w:val="801"/>
    <w:uiPriority w:val="99"/>
    <w:semiHidden/>
    <w:unhideWhenUsed/>
    <w:pPr>
      <w:pBdr/>
      <w:spacing/>
      <w:ind/>
    </w:pPr>
    <w:rPr>
      <w:vertAlign w:val="superscript"/>
    </w:rPr>
  </w:style>
  <w:style w:type="character" w:styleId="965">
    <w:name w:val="Hyperlink"/>
    <w:basedOn w:val="8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6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7">
    <w:name w:val="toc 1"/>
    <w:basedOn w:val="791"/>
    <w:next w:val="791"/>
    <w:uiPriority w:val="39"/>
    <w:unhideWhenUsed/>
    <w:pPr>
      <w:pBdr/>
      <w:spacing w:after="100"/>
      <w:ind/>
    </w:pPr>
  </w:style>
  <w:style w:type="paragraph" w:styleId="968">
    <w:name w:val="toc 2"/>
    <w:basedOn w:val="791"/>
    <w:next w:val="791"/>
    <w:uiPriority w:val="39"/>
    <w:unhideWhenUsed/>
    <w:pPr>
      <w:pBdr/>
      <w:spacing w:after="100"/>
      <w:ind w:left="220"/>
    </w:pPr>
  </w:style>
  <w:style w:type="paragraph" w:styleId="969">
    <w:name w:val="toc 3"/>
    <w:basedOn w:val="791"/>
    <w:next w:val="791"/>
    <w:uiPriority w:val="39"/>
    <w:unhideWhenUsed/>
    <w:pPr>
      <w:pBdr/>
      <w:spacing w:after="100"/>
      <w:ind w:left="440"/>
    </w:pPr>
  </w:style>
  <w:style w:type="paragraph" w:styleId="970">
    <w:name w:val="toc 4"/>
    <w:basedOn w:val="791"/>
    <w:next w:val="791"/>
    <w:uiPriority w:val="39"/>
    <w:unhideWhenUsed/>
    <w:pPr>
      <w:pBdr/>
      <w:spacing w:after="100"/>
      <w:ind w:left="660"/>
    </w:pPr>
  </w:style>
  <w:style w:type="paragraph" w:styleId="971">
    <w:name w:val="toc 5"/>
    <w:basedOn w:val="791"/>
    <w:next w:val="791"/>
    <w:uiPriority w:val="39"/>
    <w:unhideWhenUsed/>
    <w:pPr>
      <w:pBdr/>
      <w:spacing w:after="100"/>
      <w:ind w:left="880"/>
    </w:pPr>
  </w:style>
  <w:style w:type="paragraph" w:styleId="972">
    <w:name w:val="toc 6"/>
    <w:basedOn w:val="791"/>
    <w:next w:val="791"/>
    <w:uiPriority w:val="39"/>
    <w:unhideWhenUsed/>
    <w:pPr>
      <w:pBdr/>
      <w:spacing w:after="100"/>
      <w:ind w:left="1100"/>
    </w:pPr>
  </w:style>
  <w:style w:type="paragraph" w:styleId="973">
    <w:name w:val="toc 7"/>
    <w:basedOn w:val="791"/>
    <w:next w:val="791"/>
    <w:uiPriority w:val="39"/>
    <w:unhideWhenUsed/>
    <w:pPr>
      <w:pBdr/>
      <w:spacing w:after="100"/>
      <w:ind w:left="1320"/>
    </w:pPr>
  </w:style>
  <w:style w:type="paragraph" w:styleId="974">
    <w:name w:val="toc 8"/>
    <w:basedOn w:val="791"/>
    <w:next w:val="791"/>
    <w:uiPriority w:val="39"/>
    <w:unhideWhenUsed/>
    <w:pPr>
      <w:pBdr/>
      <w:spacing w:after="100"/>
      <w:ind w:left="1540"/>
    </w:pPr>
  </w:style>
  <w:style w:type="paragraph" w:styleId="975">
    <w:name w:val="toc 9"/>
    <w:basedOn w:val="791"/>
    <w:next w:val="791"/>
    <w:uiPriority w:val="39"/>
    <w:unhideWhenUsed/>
    <w:pPr>
      <w:pBdr/>
      <w:spacing w:after="100"/>
      <w:ind w:left="1760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>
    <w:name w:val="table of figures"/>
    <w:basedOn w:val="791"/>
    <w:next w:val="791"/>
    <w:uiPriority w:val="99"/>
    <w:unhideWhenUsed/>
    <w:pPr>
      <w:pBdr/>
      <w:spacing w:after="0"/>
      <w:ind/>
    </w:pPr>
  </w:style>
  <w:style w:type="paragraph" w:styleId="978">
    <w:name w:val="No Spacing"/>
    <w:basedOn w:val="791"/>
    <w:uiPriority w:val="1"/>
    <w:qFormat/>
    <w:pPr>
      <w:pBdr/>
      <w:spacing w:after="0" w:line="240" w:lineRule="auto"/>
      <w:ind/>
    </w:pPr>
  </w:style>
  <w:style w:type="paragraph" w:styleId="979">
    <w:name w:val="List Paragraph"/>
    <w:basedOn w:val="791"/>
    <w:uiPriority w:val="34"/>
    <w:qFormat/>
    <w:pPr>
      <w:pBdr/>
      <w:spacing/>
      <w:ind w:left="720"/>
      <w:contextualSpacing w:val="true"/>
    </w:pPr>
  </w:style>
  <w:style w:type="paragraph" w:styleId="980" w:customStyle="1">
    <w:name w:val="Standard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center"/>
    </w:pPr>
    <w:rPr>
      <w:rFonts w:ascii="PT Astra Serif" w:hAnsi="PT Astra Serif" w:eastAsia="PT Astra Serif" w:cs="PT Astra Serif"/>
      <w:color w:val="000000"/>
      <w:sz w:val="28"/>
      <w:szCs w:val="28"/>
      <w:lang w:eastAsia="ru-RU"/>
    </w:rPr>
  </w:style>
  <w:style w:type="paragraph" w:styleId="981" w:customStyle="1">
    <w:name w:val="Абзац списка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60" w:line="240" w:lineRule="auto"/>
      <w:ind w:left="720"/>
      <w:jc w:val="center"/>
    </w:pPr>
    <w:rPr>
      <w:rFonts w:ascii="PT Astra Serif" w:hAnsi="PT Astra Serif" w:eastAsia="PT Astra Serif" w:cs="PT Astra Serif"/>
      <w:color w:val="000000"/>
      <w:sz w:val="28"/>
      <w:szCs w:val="28"/>
      <w:lang w:eastAsia="ru-RU"/>
    </w:rPr>
  </w:style>
  <w:style w:type="paragraph" w:styleId="982" w:customStyle="1">
    <w:name w:val="Table Paragraph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</w:rPr>
  </w:style>
  <w:style w:type="paragraph" w:styleId="983" w:customStyle="1">
    <w:name w:val="Основной текст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Основной текст2"/>
    <w:uiPriority w:val="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firstLine="539" w:left="102"/>
      <w:jc w:val="both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33</cp:revision>
  <dcterms:created xsi:type="dcterms:W3CDTF">2025-01-29T06:32:00Z</dcterms:created>
  <dcterms:modified xsi:type="dcterms:W3CDTF">2025-09-17T08:31:47Z</dcterms:modified>
</cp:coreProperties>
</file>